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jc w:val="center"/>
        <w:rPr>
          <w:rFonts w:ascii="Times New Roman" w:hAnsi="Times New Roman"/>
          <w:sz w:val="22"/>
          <w:szCs w:val="22"/>
        </w:rPr>
      </w:pPr>
      <w:r>
        <w:rPr>
          <w:rFonts w:ascii="Times New Roman" w:hAnsi="Times New Roman"/>
          <w:sz w:val="22"/>
          <w:szCs w:val="22"/>
          <w:u w:val="none"/>
          <w:lang w:val="es-ES"/>
        </w:rPr>
        <w:t>UNIVERSIDAD DE COSTA RICA</w:t>
      </w:r>
    </w:p>
    <w:p>
      <w:pPr>
        <w:pStyle w:val="Cuerpodetextoconsangra"/>
        <w:jc w:val="center"/>
        <w:rPr>
          <w:rFonts w:ascii="Times New Roman" w:hAnsi="Times New Roman"/>
        </w:rPr>
      </w:pPr>
      <w:r>
        <w:rPr>
          <w:rFonts w:ascii="Times New Roman" w:hAnsi="Times New Roman"/>
          <w:sz w:val="22"/>
          <w:szCs w:val="22"/>
          <w:u w:val="none"/>
          <w:lang w:val="es-ES"/>
        </w:rPr>
        <w:t>CARRERA DE DERECHO</w:t>
      </w:r>
    </w:p>
    <w:p>
      <w:pPr>
        <w:pStyle w:val="Cuerpodetextoconsangra"/>
        <w:jc w:val="center"/>
        <w:rPr>
          <w:rFonts w:ascii="Times New Roman" w:hAnsi="Times New Roman"/>
          <w:sz w:val="22"/>
          <w:szCs w:val="22"/>
        </w:rPr>
      </w:pPr>
      <w:r>
        <w:rPr>
          <w:rFonts w:ascii="Times New Roman" w:hAnsi="Times New Roman"/>
          <w:sz w:val="22"/>
          <w:szCs w:val="22"/>
          <w:u w:val="none"/>
          <w:lang w:val="es-ES"/>
        </w:rPr>
        <w:t xml:space="preserve">PROGRAMA DEL CURSO (MODALIDAD </w:t>
      </w:r>
      <w:r>
        <w:rPr>
          <w:rFonts w:ascii="Times New Roman" w:hAnsi="Times New Roman"/>
          <w:sz w:val="22"/>
          <w:szCs w:val="22"/>
          <w:u w:val="single"/>
          <w:lang w:val="es-ES"/>
        </w:rPr>
        <w:t>BAJO VIRTUAL</w:t>
      </w:r>
      <w:r>
        <w:rPr>
          <w:rFonts w:ascii="Times New Roman" w:hAnsi="Times New Roman"/>
          <w:sz w:val="22"/>
          <w:szCs w:val="22"/>
          <w:u w:val="none"/>
          <w:lang w:val="es-ES"/>
        </w:rPr>
        <w:t xml:space="preserve"> 25%)</w:t>
      </w:r>
    </w:p>
    <w:p>
      <w:pPr>
        <w:pStyle w:val="Cuerpodetextoconsangra"/>
        <w:jc w:val="center"/>
        <w:rPr>
          <w:rFonts w:ascii="Times New Roman" w:hAnsi="Times New Roman"/>
          <w:sz w:val="22"/>
          <w:szCs w:val="22"/>
        </w:rPr>
      </w:pPr>
      <w:r>
        <w:rPr>
          <w:rFonts w:ascii="Times New Roman" w:hAnsi="Times New Roman"/>
          <w:sz w:val="22"/>
          <w:szCs w:val="22"/>
          <w:u w:val="none"/>
          <w:lang w:val="es-ES"/>
        </w:rPr>
        <w:t>DE-3010 DERECHO PROCESAL CIVIL II</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tbl>
      <w:tblPr>
        <w:tblW w:w="8950" w:type="dxa"/>
        <w:jc w:val="left"/>
        <w:tblInd w:w="152" w:type="dxa"/>
        <w:tblLayout w:type="fixed"/>
        <w:tblCellMar>
          <w:top w:w="0" w:type="dxa"/>
          <w:left w:w="108" w:type="dxa"/>
          <w:bottom w:w="0" w:type="dxa"/>
          <w:right w:w="108" w:type="dxa"/>
        </w:tblCellMar>
        <w:tblLook w:firstRow="0" w:noVBand="0" w:lastRow="0" w:firstColumn="0" w:lastColumn="0" w:noHBand="0" w:val="0000"/>
      </w:tblPr>
      <w:tblGrid>
        <w:gridCol w:w="3685"/>
        <w:gridCol w:w="5264"/>
      </w:tblGrid>
      <w:tr>
        <w:trPr>
          <w:trHeight w:val="1075" w:hRule="atLeast"/>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Nivel de la carrera:</w:t>
            </w:r>
          </w:p>
          <w:p>
            <w:pPr>
              <w:pStyle w:val="Normal"/>
              <w:widowControl w:val="false"/>
              <w:rPr>
                <w:rFonts w:ascii="Times New Roman" w:hAnsi="Times New Roman"/>
              </w:rPr>
            </w:pPr>
            <w:r>
              <w:rPr>
                <w:rFonts w:ascii="Times New Roman" w:hAnsi="Times New Roman"/>
                <w:b/>
                <w:sz w:val="22"/>
                <w:szCs w:val="22"/>
              </w:rPr>
              <w:t>Créditos:</w:t>
            </w:r>
          </w:p>
          <w:p>
            <w:pPr>
              <w:pStyle w:val="Normal"/>
              <w:widowControl w:val="false"/>
              <w:rPr>
                <w:rFonts w:ascii="Times New Roman" w:hAnsi="Times New Roman"/>
              </w:rPr>
            </w:pPr>
            <w:r>
              <w:rPr>
                <w:rFonts w:ascii="Times New Roman" w:hAnsi="Times New Roman"/>
                <w:b/>
                <w:sz w:val="22"/>
                <w:szCs w:val="22"/>
              </w:rPr>
              <w:t>Año:</w:t>
            </w:r>
          </w:p>
          <w:p>
            <w:pPr>
              <w:pStyle w:val="Normal"/>
              <w:widowControl w:val="false"/>
              <w:rPr>
                <w:rFonts w:ascii="Times New Roman" w:hAnsi="Times New Roman"/>
              </w:rPr>
            </w:pPr>
            <w:r>
              <w:rPr>
                <w:rFonts w:ascii="Times New Roman" w:hAnsi="Times New Roman"/>
                <w:b/>
                <w:sz w:val="22"/>
                <w:szCs w:val="22"/>
              </w:rPr>
              <w:t>Ciclo:</w:t>
            </w:r>
          </w:p>
        </w:tc>
        <w:tc>
          <w:tcPr>
            <w:tcW w:w="5264" w:type="dxa"/>
            <w:tcBorders/>
            <w:shd w:color="auto" w:fill="auto" w:val="clear"/>
          </w:tcPr>
          <w:p>
            <w:pPr>
              <w:pStyle w:val="Normal"/>
              <w:widowControl w:val="false"/>
              <w:rPr>
                <w:rFonts w:ascii="Times New Roman" w:hAnsi="Times New Roman"/>
                <w:sz w:val="22"/>
                <w:szCs w:val="22"/>
              </w:rPr>
            </w:pPr>
            <w:r>
              <w:rPr>
                <w:rFonts w:ascii="Times New Roman" w:hAnsi="Times New Roman"/>
                <w:b/>
                <w:sz w:val="22"/>
                <w:szCs w:val="22"/>
              </w:rPr>
              <w:t>III AÑO</w:t>
            </w:r>
          </w:p>
          <w:p>
            <w:pPr>
              <w:pStyle w:val="Normal"/>
              <w:widowControl w:val="false"/>
              <w:rPr>
                <w:rFonts w:ascii="Times New Roman" w:hAnsi="Times New Roman"/>
                <w:sz w:val="22"/>
                <w:szCs w:val="22"/>
              </w:rPr>
            </w:pPr>
            <w:r>
              <w:rPr>
                <w:rFonts w:ascii="Times New Roman" w:hAnsi="Times New Roman"/>
                <w:b/>
                <w:sz w:val="22"/>
                <w:szCs w:val="22"/>
              </w:rPr>
              <w:t>2</w:t>
            </w:r>
          </w:p>
          <w:p>
            <w:pPr>
              <w:pStyle w:val="Normal"/>
              <w:widowControl w:val="false"/>
              <w:rPr>
                <w:rFonts w:ascii="Times New Roman" w:hAnsi="Times New Roman"/>
                <w:sz w:val="22"/>
                <w:szCs w:val="22"/>
              </w:rPr>
            </w:pPr>
            <w:r>
              <w:rPr>
                <w:rFonts w:ascii="Times New Roman" w:hAnsi="Times New Roman"/>
                <w:b/>
                <w:sz w:val="22"/>
                <w:szCs w:val="22"/>
              </w:rPr>
              <w:t>2025</w:t>
            </w:r>
          </w:p>
          <w:p>
            <w:pPr>
              <w:pStyle w:val="Normal"/>
              <w:widowControl w:val="false"/>
              <w:rPr>
                <w:rFonts w:ascii="Times New Roman" w:hAnsi="Times New Roman"/>
                <w:sz w:val="22"/>
                <w:szCs w:val="22"/>
              </w:rPr>
            </w:pPr>
            <w:r>
              <w:rPr>
                <w:rFonts w:ascii="Times New Roman" w:hAnsi="Times New Roman"/>
                <w:b/>
                <w:sz w:val="22"/>
                <w:szCs w:val="22"/>
              </w:rPr>
              <w:t>I</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Requisito:</w:t>
            </w:r>
          </w:p>
        </w:tc>
        <w:tc>
          <w:tcPr>
            <w:tcW w:w="5264" w:type="dxa"/>
            <w:tcBorders/>
            <w:shd w:color="auto" w:fill="auto" w:val="clear"/>
          </w:tcPr>
          <w:p>
            <w:pPr>
              <w:pStyle w:val="Normal"/>
              <w:widowControl w:val="false"/>
              <w:rPr>
                <w:rFonts w:ascii="Times New Roman" w:hAnsi="Times New Roman"/>
              </w:rPr>
            </w:pPr>
            <w:r>
              <w:rPr>
                <w:rFonts w:ascii="Times New Roman" w:hAnsi="Times New Roman"/>
                <w:b/>
                <w:sz w:val="22"/>
                <w:szCs w:val="22"/>
              </w:rPr>
              <w:t>DE-3010 Derecho Procesal Civil I</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Horas lectivas virtuales:</w:t>
            </w:r>
          </w:p>
        </w:tc>
        <w:tc>
          <w:tcPr>
            <w:tcW w:w="5264" w:type="dxa"/>
            <w:tcBorders/>
            <w:shd w:color="auto" w:fill="auto" w:val="clear"/>
          </w:tcPr>
          <w:p>
            <w:pPr>
              <w:pStyle w:val="Normal"/>
              <w:widowControl w:val="false"/>
              <w:rPr>
                <w:rFonts w:ascii="Times New Roman" w:hAnsi="Times New Roman"/>
                <w:sz w:val="22"/>
                <w:szCs w:val="22"/>
              </w:rPr>
            </w:pPr>
            <w:r>
              <w:rPr>
                <w:rFonts w:ascii="Times New Roman" w:hAnsi="Times New Roman"/>
                <w:b/>
                <w:sz w:val="22"/>
                <w:szCs w:val="22"/>
              </w:rPr>
              <w:t>4</w:t>
            </w:r>
          </w:p>
        </w:tc>
      </w:tr>
      <w:tr>
        <w:trPr/>
        <w:tc>
          <w:tcPr>
            <w:tcW w:w="3685" w:type="dxa"/>
            <w:tcBorders/>
            <w:shd w:color="auto" w:fill="auto" w:val="clear"/>
          </w:tcPr>
          <w:p>
            <w:pPr>
              <w:pStyle w:val="Normal"/>
              <w:widowControl w:val="false"/>
              <w:rPr>
                <w:rFonts w:ascii="Times New Roman" w:hAnsi="Times New Roman"/>
              </w:rPr>
            </w:pPr>
            <w:r>
              <w:rPr>
                <w:rFonts w:ascii="Times New Roman" w:hAnsi="Times New Roman"/>
                <w:b/>
                <w:sz w:val="22"/>
                <w:szCs w:val="22"/>
              </w:rPr>
              <w:t>Horas de atención virtual a estudiantes:</w:t>
            </w:r>
          </w:p>
        </w:tc>
        <w:tc>
          <w:tcPr>
            <w:tcW w:w="5264" w:type="dxa"/>
            <w:tcBorders/>
            <w:shd w:color="auto" w:fill="auto" w:val="clear"/>
          </w:tcPr>
          <w:p>
            <w:pPr>
              <w:pStyle w:val="Normal"/>
              <w:widowControl w:val="false"/>
              <w:rPr>
                <w:rFonts w:ascii="Times New Roman" w:hAnsi="Times New Roman"/>
                <w:b/>
                <w:bCs/>
                <w:sz w:val="22"/>
                <w:szCs w:val="22"/>
              </w:rPr>
            </w:pPr>
            <w:r>
              <w:rPr>
                <w:rFonts w:ascii="Times New Roman" w:hAnsi="Times New Roman"/>
                <w:b/>
                <w:bCs/>
                <w:sz w:val="22"/>
                <w:szCs w:val="22"/>
              </w:rPr>
            </w:r>
          </w:p>
          <w:p>
            <w:pPr>
              <w:pStyle w:val="Normal"/>
              <w:widowControl w:val="false"/>
              <w:rPr>
                <w:rFonts w:ascii="Times New Roman" w:hAnsi="Times New Roman"/>
                <w:sz w:val="22"/>
                <w:szCs w:val="22"/>
              </w:rPr>
            </w:pPr>
            <w:r>
              <w:rPr>
                <w:rFonts w:ascii="Times New Roman" w:hAnsi="Times New Roman"/>
                <w:b/>
                <w:bCs/>
                <w:sz w:val="22"/>
                <w:szCs w:val="22"/>
              </w:rPr>
              <w:t>2 semanales, a convenir con los estudiantes</w:t>
            </w:r>
          </w:p>
        </w:tc>
      </w:tr>
    </w:tbl>
    <w:p>
      <w:pPr>
        <w:pStyle w:val="Contenidodelmarco"/>
        <w:jc w:val="left"/>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rPr>
      </w:pPr>
      <w:bookmarkStart w:id="0" w:name="_Toc359226955"/>
      <w:bookmarkEnd w:id="0"/>
      <w:r>
        <w:rPr>
          <w:rFonts w:ascii="Times New Roman" w:hAnsi="Times New Roman"/>
          <w:sz w:val="22"/>
          <w:szCs w:val="22"/>
        </w:rPr>
        <w:t xml:space="preserve">Fecha de revisión del programa: </w:t>
      </w:r>
      <w:r>
        <w:rPr>
          <w:rFonts w:ascii="Times New Roman" w:hAnsi="Times New Roman"/>
          <w:b/>
          <w:bCs/>
          <w:sz w:val="22"/>
          <w:szCs w:val="22"/>
        </w:rPr>
        <w:t>FEBRERO 2025</w:t>
      </w:r>
    </w:p>
    <w:p>
      <w:pPr>
        <w:pStyle w:val="Contenidodelmarco"/>
        <w:jc w:val="center"/>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sz w:val="22"/>
          <w:szCs w:val="22"/>
        </w:rPr>
      </w:pPr>
      <w:r>
        <w:rPr>
          <w:rFonts w:ascii="Times New Roman" w:hAnsi="Times New Roman"/>
          <w:sz w:val="22"/>
          <w:szCs w:val="22"/>
        </w:rPr>
      </w:r>
    </w:p>
    <w:p>
      <w:pPr>
        <w:pStyle w:val="Contenidodelmarco"/>
        <w:jc w:val="center"/>
        <w:rPr>
          <w:rFonts w:ascii="Times New Roman" w:hAnsi="Times New Roman"/>
          <w:sz w:val="22"/>
          <w:szCs w:val="22"/>
        </w:rPr>
      </w:pPr>
      <w:r>
        <w:rPr>
          <w:rFonts w:ascii="Times New Roman" w:hAnsi="Times New Roman"/>
          <w:sz w:val="22"/>
          <w:szCs w:val="22"/>
        </w:rPr>
      </w:r>
    </w:p>
    <w:p>
      <w:pPr>
        <w:pStyle w:val="Encabezado3"/>
        <w:ind w:left="720" w:right="652" w:hanging="0"/>
        <w:rPr>
          <w:rFonts w:ascii="Times New Roman" w:hAnsi="Times New Roman" w:cs="Times New Roman"/>
          <w:lang w:val="es-ES"/>
        </w:rPr>
      </w:pPr>
      <w:r>
        <w:rPr>
          <w:rFonts w:cs="Times New Roman"/>
          <w:lang w:val="es-ES"/>
        </w:rPr>
        <w:t xml:space="preserve">         </w:t>
      </w:r>
      <w:r>
        <w:rPr>
          <w:rFonts w:cs="Times New Roman"/>
          <w:lang w:val="es-ES"/>
        </w:rPr>
        <w:t>Docentes Sede Rodrigo Facio</w:t>
      </w:r>
    </w:p>
    <w:p>
      <w:pPr>
        <w:pStyle w:val="Normal"/>
        <w:suppressAutoHyphens w:val="true"/>
        <w:jc w:val="center"/>
        <w:rPr>
          <w:rFonts w:ascii="Times New Roman" w:hAnsi="Times New Roman"/>
        </w:rPr>
      </w:pPr>
      <w:r>
        <w:rPr>
          <w:rFonts w:ascii="Times New Roman" w:hAnsi="Times New Roman"/>
        </w:rPr>
        <w:t>Prof. Jorge López González, Coordinador</w:t>
      </w:r>
    </w:p>
    <w:p>
      <w:pPr>
        <w:pStyle w:val="Normal"/>
        <w:suppressAutoHyphens w:val="true"/>
        <w:jc w:val="center"/>
        <w:rPr>
          <w:rFonts w:ascii="Times New Roman" w:hAnsi="Times New Roman"/>
        </w:rPr>
      </w:pPr>
      <w:r>
        <w:rPr>
          <w:rFonts w:ascii="Times New Roman" w:hAnsi="Times New Roman"/>
        </w:rPr>
        <w:t>Prof. Adriana Orocú Chavarría</w:t>
      </w:r>
    </w:p>
    <w:p>
      <w:pPr>
        <w:pStyle w:val="Normal"/>
        <w:suppressAutoHyphens w:val="true"/>
        <w:jc w:val="center"/>
        <w:rPr>
          <w:rFonts w:ascii="Times New Roman" w:hAnsi="Times New Roman"/>
        </w:rPr>
      </w:pPr>
      <w:r>
        <w:rPr>
          <w:rFonts w:ascii="Times New Roman" w:hAnsi="Times New Roman"/>
        </w:rPr>
        <w:t xml:space="preserve">Prof. Abraham Balzer Molina </w:t>
      </w:r>
    </w:p>
    <w:p>
      <w:pPr>
        <w:pStyle w:val="Normal"/>
        <w:suppressAutoHyphens w:val="true"/>
        <w:jc w:val="center"/>
        <w:rPr>
          <w:rFonts w:ascii="Times New Roman" w:hAnsi="Times New Roman"/>
        </w:rPr>
      </w:pPr>
      <w:r>
        <w:rPr>
          <w:rFonts w:ascii="Times New Roman" w:hAnsi="Times New Roman"/>
        </w:rPr>
        <w:t xml:space="preserve">Prof. Róger Guevara Vega </w:t>
      </w:r>
    </w:p>
    <w:p>
      <w:pPr>
        <w:pStyle w:val="Normal"/>
        <w:suppressAutoHyphens w:val="true"/>
        <w:jc w:val="center"/>
        <w:rPr>
          <w:rFonts w:ascii="Times New Roman" w:hAnsi="Times New Roman"/>
        </w:rPr>
      </w:pPr>
      <w:r>
        <w:rPr>
          <w:rFonts w:ascii="Times New Roman" w:hAnsi="Times New Roman"/>
        </w:rPr>
      </w:r>
    </w:p>
    <w:p>
      <w:pPr>
        <w:pStyle w:val="Normal"/>
        <w:suppressAutoHyphens w:val="true"/>
        <w:rPr>
          <w:rFonts w:ascii="Times New Roman" w:hAnsi="Times New Roman"/>
        </w:rPr>
      </w:pPr>
      <w:r>
        <w:rPr>
          <w:rFonts w:ascii="Times New Roman" w:hAnsi="Times New Roman"/>
        </w:rPr>
      </w:r>
    </w:p>
    <w:p>
      <w:pPr>
        <w:pStyle w:val="Encabezado3"/>
        <w:keepNext w:val="true"/>
        <w:widowControl/>
        <w:numPr>
          <w:ilvl w:val="0"/>
          <w:numId w:val="0"/>
        </w:numPr>
        <w:suppressAutoHyphens w:val="true"/>
        <w:bidi w:val="0"/>
        <w:spacing w:before="240" w:after="120"/>
        <w:ind w:left="720" w:right="652" w:hanging="0"/>
        <w:rPr>
          <w:rFonts w:ascii="Times New Roman" w:hAnsi="Times New Roman" w:cs="Times New Roman"/>
        </w:rPr>
      </w:pPr>
      <w:r>
        <w:rPr>
          <w:rFonts w:eastAsia="Times New Roman" w:cs="Times New Roman"/>
          <w:b/>
          <w:bCs/>
          <w:smallCaps/>
          <w:spacing w:val="-3"/>
          <w:sz w:val="24"/>
          <w:szCs w:val="24"/>
          <w:lang w:val="es-ES" w:eastAsia="zh-CN"/>
        </w:rPr>
        <w:t>Docente</w:t>
      </w:r>
      <w:r>
        <w:rPr>
          <w:rFonts w:cs="Times New Roman"/>
          <w:lang w:val="es-ES"/>
        </w:rPr>
        <w:t xml:space="preserve"> Sede  guanacaste</w:t>
      </w:r>
    </w:p>
    <w:p>
      <w:pPr>
        <w:pStyle w:val="Normal"/>
        <w:suppressAutoHyphens w:val="true"/>
        <w:ind w:left="720" w:right="652" w:hanging="0"/>
        <w:jc w:val="center"/>
        <w:rPr>
          <w:rFonts w:ascii="Times New Roman" w:hAnsi="Times New Roman"/>
        </w:rPr>
      </w:pPr>
      <w:r>
        <w:rPr>
          <w:rFonts w:cs="Times New Roman" w:ascii="Times New Roman" w:hAnsi="Times New Roman"/>
          <w:lang w:val="es-ES"/>
        </w:rPr>
        <w:t>Prof. C</w:t>
      </w:r>
      <w:r>
        <w:rPr>
          <w:rFonts w:eastAsia="Times New Roman" w:cs="Times New Roman" w:ascii="Times New Roman" w:hAnsi="Times New Roman"/>
          <w:szCs w:val="24"/>
          <w:lang w:val="es-ES"/>
        </w:rPr>
        <w:t>élimo Fuentes Vargas</w:t>
      </w:r>
    </w:p>
    <w:p>
      <w:pPr>
        <w:pStyle w:val="Encabezado3"/>
        <w:ind w:left="720" w:right="652" w:hanging="0"/>
        <w:rPr>
          <w:rFonts w:ascii="Times New Roman" w:hAnsi="Times New Roman" w:cs="Times New Roman"/>
        </w:rPr>
      </w:pPr>
      <w:r>
        <w:rPr>
          <w:rFonts w:cs="Times New Roman"/>
        </w:rPr>
      </w:r>
    </w:p>
    <w:p>
      <w:pPr>
        <w:pStyle w:val="Encabezado3"/>
        <w:ind w:left="720" w:right="652" w:hanging="0"/>
        <w:rPr>
          <w:rFonts w:ascii="Times New Roman" w:hAnsi="Times New Roman" w:cs="Times New Roman"/>
        </w:rPr>
      </w:pPr>
      <w:r>
        <w:rPr>
          <w:rFonts w:cs="Times New Roman"/>
          <w:lang w:val="es-ES"/>
        </w:rPr>
        <w:t>Docente Sede Occidente</w:t>
      </w:r>
    </w:p>
    <w:p>
      <w:pPr>
        <w:pStyle w:val="Normal"/>
        <w:suppressAutoHyphens w:val="true"/>
        <w:jc w:val="center"/>
        <w:rPr>
          <w:rFonts w:ascii="Times New Roman" w:hAnsi="Times New Roman"/>
        </w:rPr>
      </w:pPr>
      <w:r>
        <w:rPr>
          <w:rFonts w:ascii="Times New Roman" w:hAnsi="Times New Roman"/>
        </w:rPr>
        <w:t>Prof. Carlos Eduardo González Mora</w:t>
      </w:r>
    </w:p>
    <w:p>
      <w:pPr>
        <w:pStyle w:val="Normal"/>
        <w:suppressAutoHyphens w:val="true"/>
        <w:jc w:val="center"/>
        <w:rPr>
          <w:rFonts w:ascii="Times New Roman" w:hAnsi="Times New Roman"/>
        </w:rPr>
      </w:pPr>
      <w:r>
        <w:rPr>
          <w:rFonts w:ascii="Times New Roman" w:hAnsi="Times New Roman"/>
        </w:rPr>
        <w:t>Horario del curso:</w:t>
      </w:r>
    </w:p>
    <w:p>
      <w:pPr>
        <w:pStyle w:val="Normal"/>
        <w:suppressAutoHyphens w:val="true"/>
        <w:jc w:val="center"/>
        <w:rPr>
          <w:rFonts w:ascii="Times New Roman" w:hAnsi="Times New Roman"/>
        </w:rPr>
      </w:pPr>
      <w:r>
        <w:rPr>
          <w:rFonts w:ascii="Times New Roman" w:hAnsi="Times New Roman"/>
        </w:rPr>
        <w:t>Vespertino: Lunes 17:00 a 20:50</w:t>
      </w:r>
    </w:p>
    <w:p>
      <w:pPr>
        <w:pStyle w:val="Normal"/>
        <w:suppressAutoHyphens w:val="true"/>
        <w:jc w:val="center"/>
        <w:rPr>
          <w:b/>
          <w:bCs/>
        </w:rPr>
      </w:pPr>
      <w:r>
        <w:rPr>
          <w:rFonts w:ascii="Times New Roman" w:hAnsi="Times New Roman"/>
          <w:b/>
          <w:bCs/>
        </w:rPr>
        <w:t>Modalidad: Bajo Virtual</w:t>
      </w:r>
      <w:r>
        <w:rPr>
          <w:rFonts w:ascii="Times New Roman" w:hAnsi="Times New Roman"/>
          <w:b w:val="false"/>
          <w:bCs w:val="false"/>
        </w:rPr>
        <w:t xml:space="preserve"> (25%)</w:t>
      </w:r>
    </w:p>
    <w:p>
      <w:pPr>
        <w:pStyle w:val="Normal"/>
        <w:suppressAutoHyphens w:val="true"/>
        <w:jc w:val="center"/>
        <w:rPr>
          <w:rFonts w:ascii="Times New Roman" w:hAnsi="Times New Roman"/>
        </w:rPr>
      </w:pPr>
      <w:r>
        <w:rPr>
          <w:rFonts w:ascii="Times New Roman" w:hAnsi="Times New Roman"/>
        </w:rPr>
        <w:t>Aula 401. Sede Occidente</w:t>
      </w:r>
    </w:p>
    <w:p>
      <w:pPr>
        <w:pStyle w:val="Normal"/>
        <w:suppressAutoHyphens w:val="true"/>
        <w:jc w:val="center"/>
        <w:rPr>
          <w:rFonts w:ascii="Times New Roman" w:hAnsi="Times New Roman"/>
        </w:rPr>
      </w:pPr>
      <w:hyperlink r:id="rId2">
        <w:r>
          <w:rPr>
            <w:rStyle w:val="EnlacedeInternet"/>
          </w:rPr>
          <w:t>carlos.gonzalezmora@ucr.ac.cr</w:t>
        </w:r>
      </w:hyperlink>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uppressAutoHyphens w:val="true"/>
        <w:jc w:val="center"/>
        <w:rPr>
          <w:rFonts w:ascii="Times New Roman" w:hAnsi="Times New Roman"/>
        </w:rPr>
      </w:pPr>
      <w:r>
        <w:rPr>
          <w:rFonts w:ascii="Times New Roman" w:hAnsi="Times New Roman"/>
        </w:rPr>
      </w:r>
    </w:p>
    <w:p>
      <w:pPr>
        <w:pStyle w:val="Normal"/>
        <w:spacing w:before="120" w:after="120"/>
        <w:jc w:val="center"/>
        <w:rPr>
          <w:rFonts w:ascii="Times New Roman" w:hAnsi="Times New Roman"/>
          <w:b/>
          <w:sz w:val="22"/>
          <w:szCs w:val="22"/>
        </w:rPr>
      </w:pPr>
      <w:r>
        <w:rPr>
          <w:rFonts w:ascii="Times New Roman" w:hAnsi="Times New Roman"/>
          <w:b/>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b/>
          <w:bCs/>
          <w:sz w:val="22"/>
          <w:szCs w:val="22"/>
        </w:rPr>
      </w:pPr>
      <w:r>
        <w:rPr>
          <w:rFonts w:ascii="Times New Roman" w:hAnsi="Times New Roman"/>
          <w:b/>
          <w:bCs/>
          <w:sz w:val="22"/>
          <w:szCs w:val="22"/>
        </w:rPr>
      </w:r>
    </w:p>
    <w:p>
      <w:pPr>
        <w:pStyle w:val="Normal"/>
        <w:suppressAutoHyphens w:val="true"/>
        <w:jc w:val="center"/>
        <w:rPr>
          <w:rFonts w:ascii="Times New Roman" w:hAnsi="Times New Roman"/>
        </w:rPr>
      </w:pPr>
      <w:bookmarkStart w:id="1" w:name="_Toc412013061"/>
      <w:r>
        <w:rPr>
          <w:rFonts w:ascii="Times New Roman" w:hAnsi="Times New Roman"/>
          <w:b/>
          <w:bCs/>
          <w:sz w:val="22"/>
          <w:szCs w:val="22"/>
        </w:rPr>
        <w:t>Misión de la Carrera de Derecho</w:t>
      </w:r>
      <w:bookmarkEnd w:id="1"/>
      <w:r>
        <w:rPr>
          <w:rFonts w:ascii="Times New Roman" w:hAnsi="Times New Roman"/>
          <w:b/>
          <w:bCs/>
          <w:sz w:val="22"/>
          <w:szCs w:val="22"/>
        </w:rPr>
        <w:t xml:space="preserve"> </w:t>
      </w:r>
      <w:r>
        <w:rPr>
          <w:rStyle w:val="Ancladenotaalpie"/>
          <w:rFonts w:ascii="Times New Roman" w:hAnsi="Times New Roman"/>
          <w:b/>
          <w:bCs/>
          <w:sz w:val="22"/>
          <w:szCs w:val="22"/>
        </w:rPr>
        <w:footnoteReference w:id="2"/>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t xml:space="preserve">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Mediante el desarrollo de proyectos y actividades de docencia, investigación y acción social brinda servicios en beneficio de la región y de la sociedad en general, así también contribuye con la paz social. </w:t>
      </w:r>
    </w:p>
    <w:p>
      <w:pPr>
        <w:pStyle w:val="Normal"/>
        <w:spacing w:before="120" w:after="120"/>
        <w:jc w:val="center"/>
        <w:rPr>
          <w:rFonts w:ascii="Times New Roman" w:hAnsi="Times New Roman"/>
        </w:rPr>
      </w:pPr>
      <w:bookmarkStart w:id="2" w:name="_Toc412013062"/>
      <w:r>
        <w:rPr>
          <w:rFonts w:ascii="Times New Roman" w:hAnsi="Times New Roman"/>
          <w:b/>
          <w:bCs/>
          <w:sz w:val="22"/>
          <w:szCs w:val="22"/>
        </w:rPr>
        <w:t>Visión de la Carrera de Derecho</w:t>
      </w:r>
      <w:bookmarkEnd w:id="2"/>
      <w:r>
        <w:rPr>
          <w:rFonts w:ascii="Times New Roman" w:hAnsi="Times New Roman"/>
          <w:b/>
          <w:bCs/>
          <w:sz w:val="22"/>
          <w:szCs w:val="22"/>
        </w:rPr>
        <w:t xml:space="preserve"> </w:t>
      </w:r>
      <w:r>
        <w:rPr>
          <w:rFonts w:ascii="Times New Roman" w:hAnsi="Times New Roman"/>
          <w:b/>
          <w:bCs/>
          <w:sz w:val="22"/>
          <w:szCs w:val="22"/>
          <w:vertAlign w:val="superscript"/>
        </w:rPr>
        <w:t>1</w:t>
      </w:r>
    </w:p>
    <w:p>
      <w:pPr>
        <w:pStyle w:val="Normal"/>
        <w:keepNext w:val="true"/>
        <w:numPr>
          <w:ilvl w:val="0"/>
          <w:numId w:val="0"/>
        </w:num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120" w:after="120"/>
        <w:ind w:left="0" w:hanging="0"/>
        <w:outlineLvl w:val="2"/>
        <w:rPr>
          <w:rFonts w:ascii="Times New Roman" w:hAnsi="Times New Roman"/>
        </w:rPr>
      </w:pPr>
      <w:r>
        <w:rPr>
          <w:rFonts w:ascii="Times New Roman" w:hAnsi="Times New Roman"/>
          <w:sz w:val="22"/>
          <w:szCs w:val="22"/>
          <w:lang w:eastAsia="es-CR"/>
        </w:rPr>
        <w:t>La carrera de Derecho en la Sede de Occidente aspira formar profesionales en el área de las ciencias jurídicas con perspectiva humanista, innovadora, solidaria, ética, crítica de la realidad nacional, mediante la internacionalización, el trabajo interdisciplinario y la incorporación de nuevas herramientas tecnológicas en los métodos de enseñanza y aprendizaje, en beneficio de la sociedad en general.</w:t>
      </w:r>
    </w:p>
    <w:p>
      <w:pPr>
        <w:pStyle w:val="Normal"/>
        <w:spacing w:before="120" w:after="120"/>
        <w:rPr>
          <w:rFonts w:ascii="Times New Roman" w:hAnsi="Times New Roman"/>
          <w:sz w:val="22"/>
          <w:szCs w:val="22"/>
          <w:lang w:eastAsia="es-CR"/>
        </w:rPr>
      </w:pPr>
      <w:r>
        <w:rPr>
          <w:rFonts w:ascii="Times New Roman" w:hAnsi="Times New Roman"/>
          <w:sz w:val="22"/>
          <w:szCs w:val="22"/>
          <w:lang w:eastAsia="es-CR"/>
        </w:rPr>
        <w:t xml:space="preserve">Aprendizajes esperados en las esferas cognitiva, de destrezas y actitudinal a partir de los objetivos del curso: </w:t>
      </w:r>
    </w:p>
    <w:tbl>
      <w:tblPr>
        <w:tblW w:w="8506" w:type="dxa"/>
        <w:jc w:val="left"/>
        <w:tblInd w:w="0" w:type="dxa"/>
        <w:tblLayout w:type="fixed"/>
        <w:tblCellMar>
          <w:top w:w="0" w:type="dxa"/>
          <w:left w:w="0" w:type="dxa"/>
          <w:bottom w:w="0" w:type="dxa"/>
          <w:right w:w="0" w:type="dxa"/>
        </w:tblCellMar>
      </w:tblPr>
      <w:tblGrid>
        <w:gridCol w:w="3114"/>
        <w:gridCol w:w="2556"/>
        <w:gridCol w:w="2836"/>
      </w:tblGrid>
      <w:tr>
        <w:trPr/>
        <w:tc>
          <w:tcPr>
            <w:tcW w:w="3114" w:type="dxa"/>
            <w:tcBorders/>
          </w:tcPr>
          <w:p>
            <w:pPr>
              <w:pStyle w:val="Normal"/>
              <w:widowControl w:val="false"/>
              <w:spacing w:before="120" w:after="120"/>
              <w:rPr>
                <w:b/>
                <w:bCs/>
              </w:rPr>
            </w:pPr>
            <w:r>
              <w:rPr>
                <w:rFonts w:ascii="Times New Roman" w:hAnsi="Times New Roman"/>
                <w:b/>
                <w:bCs/>
                <w:sz w:val="22"/>
                <w:szCs w:val="22"/>
                <w:lang w:eastAsia="es-CR"/>
              </w:rPr>
              <w:t>CONCEPTOS Y HECHOS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 </w:t>
            </w:r>
            <w:r>
              <w:rPr>
                <w:rFonts w:ascii="Times New Roman" w:hAnsi="Times New Roman"/>
                <w:sz w:val="22"/>
                <w:szCs w:val="22"/>
                <w:lang w:eastAsia="es-CR"/>
              </w:rPr>
              <w:t>(aprender a conocer)</w:t>
            </w:r>
          </w:p>
        </w:tc>
        <w:tc>
          <w:tcPr>
            <w:tcW w:w="2556" w:type="dxa"/>
            <w:tcBorders/>
          </w:tcPr>
          <w:p>
            <w:pPr>
              <w:pStyle w:val="Normal"/>
              <w:widowControl w:val="false"/>
              <w:spacing w:before="120" w:after="120"/>
              <w:rPr>
                <w:b/>
                <w:bCs/>
              </w:rPr>
            </w:pPr>
            <w:r>
              <w:rPr>
                <w:rFonts w:ascii="Times New Roman" w:hAnsi="Times New Roman"/>
                <w:b/>
                <w:bCs/>
                <w:sz w:val="22"/>
                <w:szCs w:val="22"/>
                <w:lang w:eastAsia="es-CR"/>
              </w:rPr>
              <w:t>PROCEDIMIENTOS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(saber hacer)</w:t>
            </w:r>
          </w:p>
        </w:tc>
        <w:tc>
          <w:tcPr>
            <w:tcW w:w="2836" w:type="dxa"/>
            <w:tcBorders/>
          </w:tcPr>
          <w:p>
            <w:pPr>
              <w:pStyle w:val="Normal"/>
              <w:widowControl w:val="false"/>
              <w:spacing w:before="120" w:after="120"/>
              <w:rPr>
                <w:b/>
                <w:bCs/>
              </w:rPr>
            </w:pPr>
            <w:r>
              <w:rPr>
                <w:rFonts w:ascii="Times New Roman" w:hAnsi="Times New Roman"/>
                <w:b/>
                <w:bCs/>
                <w:sz w:val="22"/>
                <w:szCs w:val="22"/>
                <w:lang w:eastAsia="es-CR"/>
              </w:rPr>
              <w:t>VALORES Y ACTITUDES</w:t>
            </w:r>
          </w:p>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 xml:space="preserve"> </w:t>
            </w:r>
            <w:r>
              <w:rPr>
                <w:rFonts w:ascii="Times New Roman" w:hAnsi="Times New Roman"/>
                <w:sz w:val="22"/>
                <w:szCs w:val="22"/>
                <w:lang w:eastAsia="es-CR"/>
              </w:rPr>
              <w:t>(aprender a ser)</w:t>
            </w:r>
          </w:p>
        </w:tc>
      </w:tr>
      <w:tr>
        <w:trPr/>
        <w:tc>
          <w:tcPr>
            <w:tcW w:w="3114" w:type="dxa"/>
            <w:tcBorders/>
          </w:tcPr>
          <w:p>
            <w:pPr>
              <w:pStyle w:val="Contenidodelatabla"/>
              <w:widowControl w:val="false"/>
              <w:rPr/>
            </w:pPr>
            <w:r>
              <w:rPr/>
              <w:t xml:space="preserve"> </w:t>
            </w:r>
            <w:r>
              <w:rPr/>
              <w:t>Distinguir Pretensiones</w:t>
            </w:r>
          </w:p>
        </w:tc>
        <w:tc>
          <w:tcPr>
            <w:tcW w:w="2556" w:type="dxa"/>
            <w:tcBorders/>
          </w:tcPr>
          <w:p>
            <w:pPr>
              <w:pStyle w:val="Contenidodelatabla"/>
              <w:widowControl w:val="false"/>
              <w:rPr/>
            </w:pPr>
            <w:r>
              <w:rPr/>
              <w:t>Hacer audiencias orales para distintos tipos de procesos</w:t>
            </w:r>
          </w:p>
        </w:tc>
        <w:tc>
          <w:tcPr>
            <w:tcW w:w="2836"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Valor:  Respeto</w:t>
            </w:r>
          </w:p>
        </w:tc>
      </w:tr>
      <w:tr>
        <w:trPr/>
        <w:tc>
          <w:tcPr>
            <w:tcW w:w="3114" w:type="dxa"/>
            <w:tcBorders/>
          </w:tcPr>
          <w:p>
            <w:pPr>
              <w:pStyle w:val="Contenidodelatabla"/>
              <w:widowControl w:val="false"/>
              <w:rPr/>
            </w:pPr>
            <w:r>
              <w:rPr/>
              <w:t>Utilizar medios de impugnación</w:t>
            </w:r>
          </w:p>
        </w:tc>
        <w:tc>
          <w:tcPr>
            <w:tcW w:w="2556" w:type="dxa"/>
            <w:tcBorders/>
          </w:tcPr>
          <w:p>
            <w:pPr>
              <w:pStyle w:val="Contenidodelatabla"/>
              <w:widowControl w:val="false"/>
              <w:rPr/>
            </w:pPr>
            <w:r>
              <w:rPr/>
              <w:t>Confeccionar demandas y otros escritos que se utilizan en audiencias judiciales</w:t>
            </w:r>
          </w:p>
        </w:tc>
        <w:tc>
          <w:tcPr>
            <w:tcW w:w="2836"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Valor: Responsabilidad</w:t>
            </w:r>
          </w:p>
        </w:tc>
      </w:tr>
      <w:tr>
        <w:trPr/>
        <w:tc>
          <w:tcPr>
            <w:tcW w:w="3114" w:type="dxa"/>
            <w:tcBorders/>
          </w:tcPr>
          <w:p>
            <w:pPr>
              <w:pStyle w:val="Contenidodelatabla"/>
              <w:widowControl w:val="false"/>
              <w:rPr/>
            </w:pPr>
            <w:r>
              <w:rPr/>
              <w:t>Conocer procesos sumarios, monitorios, de ejecución, concursales</w:t>
            </w:r>
          </w:p>
        </w:tc>
        <w:tc>
          <w:tcPr>
            <w:tcW w:w="2556" w:type="dxa"/>
            <w:tcBorders/>
          </w:tcPr>
          <w:p>
            <w:pPr>
              <w:pStyle w:val="Contenidodelatabla"/>
              <w:widowControl w:val="false"/>
              <w:rPr/>
            </w:pPr>
            <w:r>
              <w:rPr/>
            </w:r>
          </w:p>
        </w:tc>
        <w:tc>
          <w:tcPr>
            <w:tcW w:w="2836" w:type="dxa"/>
            <w:tcBorders/>
          </w:tcPr>
          <w:p>
            <w:pPr>
              <w:pStyle w:val="Normal"/>
              <w:widowControl w:val="false"/>
              <w:spacing w:before="120" w:after="120"/>
              <w:rPr>
                <w:rFonts w:ascii="Times New Roman" w:hAnsi="Times New Roman"/>
                <w:sz w:val="22"/>
                <w:szCs w:val="22"/>
                <w:lang w:eastAsia="es-CR"/>
              </w:rPr>
            </w:pPr>
            <w:r>
              <w:rPr>
                <w:rFonts w:ascii="Times New Roman" w:hAnsi="Times New Roman"/>
                <w:sz w:val="22"/>
                <w:szCs w:val="22"/>
                <w:lang w:eastAsia="es-CR"/>
              </w:rPr>
              <w:t>Actitud: Ética en el ejercicio profesional</w:t>
            </w:r>
          </w:p>
        </w:tc>
      </w:tr>
      <w:tr>
        <w:trPr/>
        <w:tc>
          <w:tcPr>
            <w:tcW w:w="3114" w:type="dxa"/>
            <w:tcBorders/>
          </w:tcPr>
          <w:p>
            <w:pPr>
              <w:pStyle w:val="Contenidodelatabla"/>
              <w:widowControl w:val="false"/>
              <w:rPr/>
            </w:pPr>
            <w:r>
              <w:rPr/>
              <w:t>Hipotecas, prendas y otras garantías</w:t>
            </w:r>
          </w:p>
        </w:tc>
        <w:tc>
          <w:tcPr>
            <w:tcW w:w="2556" w:type="dxa"/>
            <w:tcBorders/>
          </w:tcPr>
          <w:p>
            <w:pPr>
              <w:pStyle w:val="Contenidodelatabla"/>
              <w:widowControl w:val="false"/>
              <w:rPr/>
            </w:pPr>
            <w:r>
              <w:rPr/>
            </w:r>
          </w:p>
        </w:tc>
        <w:tc>
          <w:tcPr>
            <w:tcW w:w="2836" w:type="dxa"/>
            <w:tcBorders/>
          </w:tcPr>
          <w:p>
            <w:pPr>
              <w:pStyle w:val="Contenidodelatabla"/>
              <w:widowControl w:val="false"/>
              <w:rPr/>
            </w:pPr>
            <w:r>
              <w:rPr/>
            </w:r>
          </w:p>
        </w:tc>
      </w:tr>
      <w:tr>
        <w:trPr/>
        <w:tc>
          <w:tcPr>
            <w:tcW w:w="3114" w:type="dxa"/>
            <w:tcBorders/>
          </w:tcPr>
          <w:p>
            <w:pPr>
              <w:pStyle w:val="Contenidodelatabla"/>
              <w:widowControl w:val="false"/>
              <w:rPr/>
            </w:pPr>
            <w:r>
              <w:rPr/>
            </w:r>
          </w:p>
        </w:tc>
        <w:tc>
          <w:tcPr>
            <w:tcW w:w="2556" w:type="dxa"/>
            <w:tcBorders/>
          </w:tcPr>
          <w:p>
            <w:pPr>
              <w:pStyle w:val="Contenidodelatabla"/>
              <w:widowControl w:val="false"/>
              <w:rPr/>
            </w:pPr>
            <w:r>
              <w:rPr/>
            </w:r>
          </w:p>
        </w:tc>
        <w:tc>
          <w:tcPr>
            <w:tcW w:w="2836" w:type="dxa"/>
            <w:tcBorders/>
          </w:tcPr>
          <w:p>
            <w:pPr>
              <w:pStyle w:val="Contenidodelatabla"/>
              <w:widowControl w:val="false"/>
              <w:rPr/>
            </w:pPr>
            <w:r>
              <w:rPr/>
            </w:r>
          </w:p>
        </w:tc>
      </w:tr>
    </w:tbl>
    <w:p>
      <w:pPr>
        <w:pStyle w:val="Normal"/>
        <w:spacing w:before="120" w:after="120"/>
        <w:rPr>
          <w:rFonts w:ascii="Times New Roman" w:hAnsi="Times New Roman"/>
          <w:sz w:val="22"/>
          <w:szCs w:val="22"/>
          <w:lang w:eastAsia="es-CR"/>
        </w:rPr>
      </w:pPr>
      <w:r>
        <w:rPr>
          <w:rFonts w:ascii="Times New Roman" w:hAnsi="Times New Roman"/>
          <w:sz w:val="22"/>
          <w:szCs w:val="22"/>
          <w:lang w:eastAsia="es-CR"/>
        </w:rPr>
      </w:r>
    </w:p>
    <w:p>
      <w:pPr>
        <w:pStyle w:val="Encabezado3"/>
        <w:rPr>
          <w:rFonts w:ascii="Times New Roman" w:hAnsi="Times New Roman" w:cs="Times New Roman"/>
          <w:sz w:val="22"/>
          <w:szCs w:val="22"/>
        </w:rPr>
      </w:pPr>
      <w:bookmarkStart w:id="3" w:name="_Toc504642935"/>
      <w:bookmarkStart w:id="4" w:name="_Toc359226959"/>
      <w:bookmarkEnd w:id="4"/>
      <w:r>
        <w:rPr>
          <w:rFonts w:cs="Times New Roman"/>
          <w:sz w:val="22"/>
          <w:szCs w:val="22"/>
          <w:lang w:val="es-ES"/>
        </w:rPr>
        <w:t>Descripción y justificación</w:t>
      </w:r>
      <w:bookmarkEnd w:id="3"/>
    </w:p>
    <w:p>
      <w:pPr>
        <w:pStyle w:val="Normal"/>
        <w:widowControl w:val="false"/>
        <w:rPr>
          <w:rFonts w:ascii="Times New Roman" w:hAnsi="Times New Roman"/>
          <w:sz w:val="22"/>
          <w:szCs w:val="22"/>
        </w:rPr>
      </w:pPr>
      <w:r>
        <w:rPr>
          <w:rFonts w:ascii="Times New Roman" w:hAnsi="Times New Roman"/>
          <w:sz w:val="22"/>
          <w:szCs w:val="22"/>
        </w:rPr>
        <w:t xml:space="preserve">El curso de Derecho Procesal Civil II es el complemento al curso de Derecho Procesal Civil I. De acuerdo a la forma en que la cátedra ha estructurado el programa, en el curso de Procesal Civil I se estudió casi toda la parte general del Derecho Procesal, desde la competencia hasta el tema de la prueba. Por decisión de la cátedra quedaron pendientes dos temas generales que serán abordados en este curso: medios de impugnación y medidas cautelares. En este curso estudiaremos, fundamentalmente, todos y cada uno de los procesos y procedimientos que regula nuestra legislación (ordinarios, sumarios, especiales, monitorios y no contenciosos). La importancia del curso es indiscutible, porque constituye la base necesaria para saber cómo se ejerce la administración de justicia en las materias no penales. </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En el curso de Procesal Civil II el estudiante tendrá la oportunidad de aplicar aquellos conocimientos de la parte general, pero con una visión más práctica, enfocada al desenvolvimiento de cada uno de los procesos que regula nuestra legislación. La idea es que en procesal civil II el estudiante se dedique al procedimiento, desde un punto de vista pragmático, para obtener al final un profesional que tenga sólidos conocimientos científicos, con destrezas en el desenvolvimiento de un proceso, es decir, que sepa aplicarlos en la resolución de conflictos. Es trascendental en este curso, ubicar al estudiante en lo que es la realidad del proceso, con ejemplos y solución de casos. Teniendo en consideración la reforma procesal que entró en vigencia en el año 2018, es interés de la cátedra preparar a los futuros profesionales en la aplicación de esta nueva normativa. La experiencia ha demostrado, que aún con sistemas procesales modernos, la administración de justicia no funciona si las personas operadoras del sistema no conocen el derecho procesal, principalmente si no se tiene la amplitud de miras necesaria para hacer realidad los principios rectores de éste, como instrumento para hacer justicia. Esa amplitud de miras sólo se logra conociendo lo que tenemos, descubriendo lo que actualmente preocupa a la doctrina y a las legislaciones extranjeras, cuestionando lo que no se ajuste a la evolución de la sociedad, proponiendo soluciones y reconociendo que todavía queda mucho por aprender y resolver. Esas razones justifican el curso que aquí se presenta.</w:t>
      </w:r>
    </w:p>
    <w:p>
      <w:pPr>
        <w:pStyle w:val="Normal"/>
        <w:widowControl w:val="false"/>
        <w:rPr>
          <w:rFonts w:ascii="Times New Roman" w:hAnsi="Times New Roman"/>
          <w:b/>
          <w:sz w:val="22"/>
          <w:szCs w:val="22"/>
          <w:u w:val="single"/>
        </w:rPr>
      </w:pPr>
      <w:r>
        <w:rPr>
          <w:rFonts w:ascii="Times New Roman" w:hAnsi="Times New Roman"/>
          <w:b/>
          <w:sz w:val="22"/>
          <w:szCs w:val="22"/>
          <w:u w:val="single"/>
        </w:rPr>
      </w:r>
    </w:p>
    <w:p>
      <w:pPr>
        <w:pStyle w:val="Normal"/>
        <w:widowControl w:val="false"/>
        <w:jc w:val="center"/>
        <w:rPr>
          <w:rFonts w:ascii="Times New Roman" w:hAnsi="Times New Roman"/>
          <w:b/>
          <w:sz w:val="22"/>
          <w:szCs w:val="22"/>
          <w:u w:val="single"/>
        </w:rPr>
      </w:pPr>
      <w:r>
        <w:rPr>
          <w:rFonts w:ascii="Times New Roman" w:hAnsi="Times New Roman"/>
          <w:b/>
          <w:sz w:val="22"/>
          <w:szCs w:val="22"/>
          <w:u w:val="single"/>
        </w:rPr>
      </w:r>
    </w:p>
    <w:p>
      <w:pPr>
        <w:pStyle w:val="Normal"/>
        <w:widowControl w:val="false"/>
        <w:jc w:val="center"/>
        <w:rPr>
          <w:highlight w:val="none"/>
          <w:shd w:fill="FFFF00" w:val="clear"/>
        </w:rPr>
      </w:pPr>
      <w:r>
        <w:rPr>
          <w:rFonts w:ascii="Times New Roman" w:hAnsi="Times New Roman"/>
          <w:b/>
          <w:sz w:val="22"/>
          <w:szCs w:val="22"/>
          <w:u w:val="single"/>
          <w:shd w:fill="FFFF00" w:val="clear"/>
        </w:rPr>
        <w:t>OBJETIVO GENERAL</w:t>
      </w:r>
    </w:p>
    <w:p>
      <w:pPr>
        <w:pStyle w:val="Normal"/>
        <w:widowControl w:val="false"/>
        <w:jc w:val="center"/>
        <w:rPr>
          <w:rFonts w:ascii="Times New Roman" w:hAnsi="Times New Roman"/>
          <w:b/>
          <w:sz w:val="22"/>
          <w:szCs w:val="22"/>
          <w:u w:val="single"/>
        </w:rPr>
      </w:pPr>
      <w:r>
        <w:rPr>
          <w:rFonts w:ascii="Times New Roman" w:hAnsi="Times New Roman"/>
          <w:b/>
          <w:sz w:val="22"/>
          <w:szCs w:val="22"/>
          <w:u w:val="single"/>
        </w:rPr>
      </w:r>
    </w:p>
    <w:p>
      <w:pPr>
        <w:pStyle w:val="Normal"/>
        <w:numPr>
          <w:ilvl w:val="0"/>
          <w:numId w:val="3"/>
        </w:numPr>
        <w:rPr>
          <w:rFonts w:ascii="Times New Roman" w:hAnsi="Times New Roman"/>
          <w:sz w:val="22"/>
          <w:szCs w:val="22"/>
        </w:rPr>
      </w:pPr>
      <w:r>
        <w:rPr>
          <w:rFonts w:eastAsia="Calibri" w:ascii="Times New Roman" w:hAnsi="Times New Roman"/>
          <w:sz w:val="22"/>
          <w:szCs w:val="22"/>
          <w:lang w:val="es-MX" w:eastAsia="es-MX"/>
        </w:rPr>
        <w:t>Propiciar la adquisición de conocimientos integrales conceptuales, teóricos y prácticos sobre medios de impugnación, medidas cautelares y cada uno de los tipos de proceso y de las posibilidades que ofrece el legislador, para brindar y obtener una solución jurisdiccional.</w:t>
      </w:r>
    </w:p>
    <w:p>
      <w:pPr>
        <w:pStyle w:val="Normal"/>
        <w:ind w:left="720" w:hanging="0"/>
        <w:rPr>
          <w:rFonts w:ascii="Times New Roman" w:hAnsi="Times New Roman" w:eastAsia="Calibri"/>
          <w:sz w:val="22"/>
          <w:szCs w:val="22"/>
          <w:lang w:eastAsia="es-MX"/>
        </w:rPr>
      </w:pPr>
      <w:r>
        <w:rPr>
          <w:rFonts w:eastAsia="Calibri" w:ascii="Times New Roman" w:hAnsi="Times New Roman"/>
          <w:sz w:val="22"/>
          <w:szCs w:val="22"/>
          <w:lang w:eastAsia="es-MX"/>
        </w:rPr>
      </w:r>
    </w:p>
    <w:p>
      <w:pPr>
        <w:pStyle w:val="Normal"/>
        <w:numPr>
          <w:ilvl w:val="0"/>
          <w:numId w:val="3"/>
        </w:numPr>
        <w:rPr>
          <w:rFonts w:ascii="Times New Roman" w:hAnsi="Times New Roman"/>
          <w:sz w:val="22"/>
          <w:szCs w:val="22"/>
        </w:rPr>
      </w:pPr>
      <w:r>
        <w:rPr>
          <w:rFonts w:eastAsia="Calibri" w:ascii="Times New Roman" w:hAnsi="Times New Roman"/>
          <w:sz w:val="22"/>
          <w:szCs w:val="22"/>
          <w:lang w:val="es-MX" w:eastAsia="es-MX"/>
        </w:rPr>
        <w:t>Facilitar la obtención de una visión global sobre el fenómeno jurídico, donde se conjugue la aplicación del derecho procesal y el derecho sustantivo, que permita a la persona estudiante obtener las herramientas, para ofrecer soluciones científicas a los conflictos que le deparará el ejercicio profesional.</w:t>
      </w:r>
    </w:p>
    <w:p>
      <w:pPr>
        <w:pStyle w:val="Normal"/>
        <w:rPr>
          <w:rFonts w:ascii="Times New Roman" w:hAnsi="Times New Roman"/>
          <w:sz w:val="22"/>
          <w:szCs w:val="22"/>
          <w:lang w:val="es-CR"/>
        </w:rPr>
      </w:pPr>
      <w:r>
        <w:rPr>
          <w:rFonts w:ascii="Times New Roman" w:hAnsi="Times New Roman"/>
          <w:sz w:val="22"/>
          <w:szCs w:val="22"/>
          <w:lang w:val="es-CR"/>
        </w:rPr>
      </w:r>
    </w:p>
    <w:p>
      <w:pPr>
        <w:pStyle w:val="Normal"/>
        <w:ind w:left="720" w:hanging="0"/>
        <w:rPr>
          <w:rFonts w:ascii="Times New Roman" w:hAnsi="Times New Roman"/>
          <w:sz w:val="22"/>
          <w:szCs w:val="22"/>
          <w:lang w:val="es-CR"/>
        </w:rPr>
      </w:pPr>
      <w:r>
        <w:rPr>
          <w:rFonts w:ascii="Times New Roman" w:hAnsi="Times New Roman"/>
          <w:sz w:val="22"/>
          <w:szCs w:val="22"/>
          <w:lang w:val="es-CR"/>
        </w:rPr>
      </w:r>
    </w:p>
    <w:p>
      <w:pPr>
        <w:pStyle w:val="Normal"/>
        <w:widowControl w:val="false"/>
        <w:jc w:val="center"/>
        <w:rPr>
          <w:rFonts w:ascii="Times New Roman" w:hAnsi="Times New Roman"/>
          <w:sz w:val="22"/>
          <w:szCs w:val="22"/>
        </w:rPr>
      </w:pPr>
      <w:r>
        <w:rPr>
          <w:rFonts w:ascii="Times New Roman" w:hAnsi="Times New Roman"/>
          <w:b/>
          <w:sz w:val="22"/>
          <w:szCs w:val="22"/>
          <w:u w:val="single"/>
        </w:rPr>
        <w:t>OBJETIVOS ESPECÍFICOS</w:t>
      </w:r>
    </w:p>
    <w:p>
      <w:pPr>
        <w:pStyle w:val="Normal"/>
        <w:widowControl w:val="false"/>
        <w:tabs>
          <w:tab w:val="clear" w:pos="708"/>
          <w:tab w:val="left" w:pos="4815" w:leader="none"/>
        </w:tabs>
        <w:rPr>
          <w:rFonts w:ascii="Times New Roman" w:hAnsi="Times New Roman"/>
          <w:sz w:val="22"/>
          <w:szCs w:val="22"/>
        </w:rPr>
      </w:pPr>
      <w:r>
        <w:rPr>
          <w:rFonts w:ascii="Times New Roman" w:hAnsi="Times New Roman"/>
          <w:sz w:val="22"/>
          <w:szCs w:val="22"/>
        </w:rPr>
        <w:tab/>
      </w:r>
    </w:p>
    <w:p>
      <w:pPr>
        <w:pStyle w:val="Normal"/>
        <w:widowControl w:val="false"/>
        <w:numPr>
          <w:ilvl w:val="0"/>
          <w:numId w:val="4"/>
        </w:numPr>
        <w:rPr>
          <w:rFonts w:ascii="Times New Roman" w:hAnsi="Times New Roman"/>
          <w:sz w:val="22"/>
          <w:szCs w:val="22"/>
        </w:rPr>
      </w:pPr>
      <w:r>
        <w:rPr>
          <w:rFonts w:ascii="Times New Roman" w:hAnsi="Times New Roman"/>
          <w:sz w:val="22"/>
          <w:szCs w:val="22"/>
        </w:rPr>
        <w:t>Describir el procedimiento de cada uno de los procesos: ordinarios, sumarios, monitorios y especiales.</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Distinguir el procedimiento a seguir dependiendo del tipo de pretensión.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Identificar las particularidades de cada uno de los procesos.</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Seleccionar entre un proceso monitorio dinerario, un proceso monitorio arrendaticio y proceso sumario común.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Explicar las distintas vías procedimentales previstas para el trámite de una pretensión.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Establecer las diferencias fundamentales entre un proceso jurisdiccional común y uno arbitral.</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Precisar los criterios de admisibilidad y procedencia de un recurso de casación.</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 xml:space="preserve">Determinar el procedimiento a seguir para la ejecución de una resolución atendiendo a su contenido. </w:t>
      </w:r>
    </w:p>
    <w:p>
      <w:pPr>
        <w:pStyle w:val="Normal"/>
        <w:widowControl w:val="false"/>
        <w:numPr>
          <w:ilvl w:val="0"/>
          <w:numId w:val="4"/>
        </w:numPr>
        <w:rPr>
          <w:rFonts w:ascii="Times New Roman" w:hAnsi="Times New Roman"/>
          <w:sz w:val="22"/>
          <w:szCs w:val="22"/>
        </w:rPr>
      </w:pPr>
      <w:r>
        <w:rPr>
          <w:rFonts w:ascii="Times New Roman" w:hAnsi="Times New Roman"/>
          <w:sz w:val="22"/>
          <w:szCs w:val="22"/>
        </w:rPr>
        <w:t>Establecer el procedimiento a seguir para el reclamo de créditos y ejecución de sentencias.</w:t>
      </w:r>
    </w:p>
    <w:p>
      <w:pPr>
        <w:pStyle w:val="Normal"/>
        <w:widowControl w:val="false"/>
        <w:jc w:val="center"/>
        <w:rPr>
          <w:highlight w:val="none"/>
          <w:shd w:fill="FFFF00" w:val="clear"/>
        </w:rPr>
      </w:pPr>
      <w:r>
        <w:rPr>
          <w:rFonts w:ascii="Times New Roman" w:hAnsi="Times New Roman"/>
          <w:b/>
          <w:sz w:val="22"/>
          <w:szCs w:val="22"/>
          <w:u w:val="single"/>
          <w:shd w:fill="FFFF00" w:val="clear"/>
        </w:rPr>
        <w:t>CONTENIDOS</w:t>
      </w:r>
    </w:p>
    <w:p>
      <w:pPr>
        <w:pStyle w:val="Normal"/>
        <w:widowControl w:val="false"/>
        <w:ind w:firstLine="720"/>
        <w:rPr>
          <w:rFonts w:ascii="Times New Roman" w:hAnsi="Times New Roman"/>
          <w:sz w:val="22"/>
          <w:szCs w:val="22"/>
        </w:rPr>
      </w:pPr>
      <w:r>
        <w:rPr>
          <w:rFonts w:ascii="Times New Roman" w:hAnsi="Times New Roman"/>
          <w:sz w:val="22"/>
          <w:szCs w:val="22"/>
        </w:rPr>
      </w:r>
    </w:p>
    <w:p>
      <w:pPr>
        <w:pStyle w:val="Normal"/>
        <w:widowControl w:val="false"/>
        <w:ind w:firstLine="720"/>
        <w:rPr>
          <w:rFonts w:ascii="Times New Roman" w:hAnsi="Times New Roman"/>
          <w:sz w:val="22"/>
          <w:szCs w:val="22"/>
        </w:rPr>
      </w:pPr>
      <w:r>
        <w:rPr>
          <w:rFonts w:ascii="Times New Roman" w:hAnsi="Times New Roman"/>
          <w:sz w:val="22"/>
          <w:szCs w:val="22"/>
        </w:rPr>
        <w:t xml:space="preserve">En el curso se examinarán los siguientes temas: </w:t>
      </w:r>
    </w:p>
    <w:p>
      <w:pPr>
        <w:pStyle w:val="Normal"/>
        <w:widowControl w:val="false"/>
        <w:ind w:firstLine="720"/>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b/>
          <w:bCs/>
          <w:sz w:val="22"/>
          <w:szCs w:val="22"/>
        </w:rPr>
        <w:t>Tema 1</w:t>
      </w:r>
      <w:r>
        <w:rPr>
          <w:rFonts w:ascii="Times New Roman" w:hAnsi="Times New Roman"/>
          <w:bCs/>
          <w:sz w:val="22"/>
          <w:szCs w:val="22"/>
        </w:rPr>
        <w:t>.</w:t>
      </w:r>
      <w:r>
        <w:rPr>
          <w:rFonts w:ascii="Times New Roman" w:hAnsi="Times New Roman"/>
          <w:b/>
          <w:bCs/>
          <w:sz w:val="22"/>
          <w:szCs w:val="22"/>
        </w:rPr>
        <w:t xml:space="preserve"> Medios de impugnación.</w:t>
      </w:r>
      <w:r>
        <w:rPr>
          <w:rFonts w:ascii="Times New Roman" w:hAnsi="Times New Roman"/>
          <w:bCs/>
          <w:sz w:val="22"/>
          <w:szCs w:val="22"/>
        </w:rPr>
        <w:t xml:space="preserve"> </w:t>
      </w:r>
      <w:r>
        <w:rPr>
          <w:rFonts w:ascii="Times New Roman" w:hAnsi="Times New Roman"/>
          <w:b/>
          <w:bCs/>
          <w:sz w:val="22"/>
          <w:szCs w:val="22"/>
        </w:rPr>
        <w:t>Disposiciones Generales</w:t>
      </w:r>
      <w:r>
        <w:rPr>
          <w:rFonts w:ascii="Times New Roman" w:hAnsi="Times New Roman"/>
          <w:bCs/>
          <w:sz w:val="22"/>
          <w:szCs w:val="22"/>
        </w:rPr>
        <w:t xml:space="preserve">. Taxatividad de los medios de impugnación. Legitimación para impugnar. Renuncia al derecho de impugnar.  Efectos de la impugnación sobre los plazos. Motivación de la impugnación. Prohibición de reforma en perjuicio. Ejecución provisional. Desistimiento de la impugnación. Providencias. </w:t>
      </w:r>
      <w:r>
        <w:rPr>
          <w:rFonts w:ascii="Times New Roman" w:hAnsi="Times New Roman"/>
          <w:b/>
          <w:bCs/>
          <w:sz w:val="22"/>
          <w:szCs w:val="22"/>
        </w:rPr>
        <w:t>Medios de impugnación ordinarios</w:t>
      </w:r>
      <w:r>
        <w:rPr>
          <w:rFonts w:ascii="Times New Roman" w:hAnsi="Times New Roman"/>
          <w:bCs/>
          <w:sz w:val="22"/>
          <w:szCs w:val="22"/>
        </w:rPr>
        <w:t xml:space="preserve">. </w:t>
      </w:r>
      <w:r>
        <w:rPr>
          <w:rFonts w:ascii="Times New Roman" w:hAnsi="Times New Roman"/>
          <w:b/>
          <w:bCs/>
          <w:sz w:val="22"/>
          <w:szCs w:val="22"/>
        </w:rPr>
        <w:t>Recurso de revocatoria</w:t>
      </w:r>
      <w:r>
        <w:rPr>
          <w:rFonts w:ascii="Times New Roman" w:hAnsi="Times New Roman"/>
          <w:bCs/>
          <w:sz w:val="22"/>
          <w:szCs w:val="22"/>
        </w:rPr>
        <w:t xml:space="preserve">. Procedencia, oportunidad y recursos. Recurso de revocatoria en audiencia. Revocatoria y apelación conjuntas. </w:t>
      </w:r>
      <w:r>
        <w:rPr>
          <w:rFonts w:ascii="Times New Roman" w:hAnsi="Times New Roman"/>
          <w:b/>
          <w:bCs/>
          <w:sz w:val="22"/>
          <w:szCs w:val="22"/>
        </w:rPr>
        <w:t>Recurso de Apelación</w:t>
      </w:r>
      <w:r>
        <w:rPr>
          <w:rFonts w:ascii="Times New Roman" w:hAnsi="Times New Roman"/>
          <w:bCs/>
          <w:sz w:val="22"/>
          <w:szCs w:val="22"/>
        </w:rPr>
        <w:t xml:space="preserve">. Disposiciones generales. Prueba en segunda instancia. Apelación de autos. Apelación diferida. Apelación de sentencias y efectos. Procedimiento en segunda instancia. Audiencia oral en segunda instancia y resolución. </w:t>
      </w:r>
      <w:r>
        <w:rPr>
          <w:rFonts w:ascii="Times New Roman" w:hAnsi="Times New Roman"/>
          <w:b/>
          <w:bCs/>
          <w:sz w:val="22"/>
          <w:szCs w:val="22"/>
        </w:rPr>
        <w:t>Apelación por inadmisión</w:t>
      </w:r>
      <w:r>
        <w:rPr>
          <w:rFonts w:ascii="Times New Roman" w:hAnsi="Times New Roman"/>
          <w:bCs/>
          <w:sz w:val="22"/>
          <w:szCs w:val="22"/>
        </w:rPr>
        <w:t xml:space="preserve">. Procedencia y plazo. Requisitos y procedimiento. Efectos de la interposición y resolución. </w:t>
      </w:r>
      <w:r>
        <w:rPr>
          <w:rFonts w:ascii="Times New Roman" w:hAnsi="Times New Roman"/>
          <w:b/>
          <w:bCs/>
          <w:sz w:val="22"/>
          <w:szCs w:val="22"/>
        </w:rPr>
        <w:t>Medios de impugnación extraordinarios</w:t>
      </w:r>
      <w:r>
        <w:rPr>
          <w:rFonts w:ascii="Times New Roman" w:hAnsi="Times New Roman"/>
          <w:bCs/>
          <w:sz w:val="22"/>
          <w:szCs w:val="22"/>
        </w:rPr>
        <w:t xml:space="preserve">. </w:t>
      </w:r>
      <w:r>
        <w:rPr>
          <w:rFonts w:ascii="Times New Roman" w:hAnsi="Times New Roman"/>
          <w:b/>
          <w:bCs/>
          <w:sz w:val="22"/>
          <w:szCs w:val="22"/>
        </w:rPr>
        <w:t>Recurso de Casación</w:t>
      </w:r>
      <w:r>
        <w:rPr>
          <w:rFonts w:ascii="Times New Roman" w:hAnsi="Times New Roman"/>
          <w:bCs/>
          <w:sz w:val="22"/>
          <w:szCs w:val="22"/>
        </w:rPr>
        <w:t xml:space="preserve">. Resoluciones contra las que procede. Causales. Forma y plazo. Requisitos. Rechazo de plano. Efectos del recurso de casación. Procedimiento del recurso de casación. Sentencia. Recursos. </w:t>
      </w:r>
      <w:r>
        <w:rPr>
          <w:rFonts w:ascii="Times New Roman" w:hAnsi="Times New Roman"/>
          <w:b/>
          <w:bCs/>
          <w:sz w:val="22"/>
          <w:szCs w:val="22"/>
        </w:rPr>
        <w:t xml:space="preserve">Casación en interés de la ley. </w:t>
      </w:r>
      <w:r>
        <w:rPr>
          <w:rFonts w:ascii="Times New Roman" w:hAnsi="Times New Roman"/>
          <w:bCs/>
          <w:sz w:val="22"/>
          <w:szCs w:val="22"/>
        </w:rPr>
        <w:t xml:space="preserve">Procedencia. Legitimación. Competencia y procedimiento. Sentencia. </w:t>
      </w:r>
      <w:r>
        <w:rPr>
          <w:rFonts w:ascii="Times New Roman" w:hAnsi="Times New Roman"/>
          <w:b/>
          <w:bCs/>
          <w:sz w:val="22"/>
          <w:szCs w:val="22"/>
        </w:rPr>
        <w:t>Casación en interés de la jurisprudencia</w:t>
      </w:r>
      <w:r>
        <w:rPr>
          <w:rFonts w:ascii="Times New Roman" w:hAnsi="Times New Roman"/>
          <w:bCs/>
          <w:sz w:val="22"/>
          <w:szCs w:val="22"/>
        </w:rPr>
        <w:t>. Procedencia, competencia y efectos. Legitimación, selección de temas propuestos y procedimiento.</w:t>
      </w:r>
      <w:r>
        <w:rPr>
          <w:rFonts w:ascii="Times New Roman" w:hAnsi="Times New Roman"/>
          <w:b/>
          <w:bCs/>
          <w:sz w:val="22"/>
          <w:szCs w:val="22"/>
        </w:rPr>
        <w:t xml:space="preserve"> Revisión</w:t>
      </w:r>
      <w:r>
        <w:rPr>
          <w:rFonts w:ascii="Times New Roman" w:hAnsi="Times New Roman"/>
          <w:bCs/>
          <w:sz w:val="22"/>
          <w:szCs w:val="22"/>
        </w:rPr>
        <w:t>. Procedencia y causales. Plazos. Legitimación. Competencia y forma de la solicitud. Procedimiento y suspensión. Sentencia estimatoria. Sentencia desestimatoria y destino de la garantía por suspensión. Recursos.</w:t>
      </w:r>
    </w:p>
    <w:p>
      <w:pPr>
        <w:pStyle w:val="Normal"/>
        <w:rPr>
          <w:rFonts w:ascii="Times New Roman" w:hAnsi="Times New Roman"/>
          <w:b/>
          <w:bCs/>
          <w:sz w:val="22"/>
          <w:szCs w:val="22"/>
        </w:rPr>
      </w:pPr>
      <w:r>
        <w:rPr>
          <w:rFonts w:ascii="Times New Roman" w:hAnsi="Times New Roman"/>
          <w:b/>
          <w:bCs/>
          <w:sz w:val="22"/>
          <w:szCs w:val="22"/>
        </w:rPr>
      </w:r>
    </w:p>
    <w:p>
      <w:pPr>
        <w:pStyle w:val="Normal"/>
        <w:rPr>
          <w:rFonts w:ascii="Times New Roman" w:hAnsi="Times New Roman"/>
        </w:rPr>
      </w:pPr>
      <w:r>
        <w:rPr>
          <w:rFonts w:ascii="Times New Roman" w:hAnsi="Times New Roman"/>
          <w:b/>
          <w:bCs/>
          <w:sz w:val="22"/>
          <w:szCs w:val="22"/>
        </w:rPr>
        <w:t>Tema 2. Procesos: distinción entre procesos de conocimiento, procesos cautelares y procesos de ejecución.</w:t>
      </w:r>
    </w:p>
    <w:p>
      <w:pPr>
        <w:pStyle w:val="Normal"/>
        <w:rPr>
          <w:rFonts w:ascii="Times New Roman" w:hAnsi="Times New Roman"/>
          <w:b/>
          <w:bCs/>
          <w:sz w:val="22"/>
          <w:szCs w:val="22"/>
        </w:rPr>
      </w:pPr>
      <w:r>
        <w:rPr>
          <w:rFonts w:ascii="Times New Roman" w:hAnsi="Times New Roman"/>
          <w:b/>
          <w:bCs/>
          <w:sz w:val="22"/>
          <w:szCs w:val="22"/>
        </w:rPr>
      </w:r>
    </w:p>
    <w:p>
      <w:pPr>
        <w:pStyle w:val="Normal"/>
        <w:rPr>
          <w:rFonts w:ascii="Times New Roman" w:hAnsi="Times New Roman"/>
        </w:rPr>
      </w:pPr>
      <w:r>
        <w:rPr>
          <w:rFonts w:ascii="Times New Roman" w:hAnsi="Times New Roman"/>
          <w:b/>
          <w:bCs/>
          <w:sz w:val="22"/>
          <w:szCs w:val="22"/>
        </w:rPr>
        <w:t xml:space="preserve">Tema 3. Proceso cautelar. </w:t>
      </w:r>
      <w:r>
        <w:rPr>
          <w:rFonts w:ascii="Times New Roman" w:hAnsi="Times New Roman"/>
          <w:bCs/>
          <w:sz w:val="22"/>
          <w:szCs w:val="22"/>
        </w:rPr>
        <w:t xml:space="preserve">Oportunidad, legitimación y responsabilidad. Presupuestos y finalidad. Admisibilidad. Garantías. Modificación, sustitución y levantamiento. Caducidad. Imposibilidad de reiterarlas. Condena al pago de costas, daños y perjuicios.  </w:t>
      </w:r>
      <w:r>
        <w:rPr>
          <w:rFonts w:ascii="Times New Roman" w:hAnsi="Times New Roman"/>
          <w:b/>
          <w:bCs/>
          <w:sz w:val="22"/>
          <w:szCs w:val="22"/>
        </w:rPr>
        <w:t xml:space="preserve"> </w:t>
      </w:r>
    </w:p>
    <w:p>
      <w:pPr>
        <w:pStyle w:val="Normal"/>
        <w:rPr>
          <w:rFonts w:ascii="Times New Roman" w:hAnsi="Times New Roman"/>
          <w:sz w:val="22"/>
          <w:szCs w:val="22"/>
        </w:rPr>
      </w:pPr>
      <w:r>
        <w:rPr>
          <w:rFonts w:ascii="Times New Roman" w:hAnsi="Times New Roman"/>
          <w:b/>
          <w:bCs/>
          <w:sz w:val="22"/>
          <w:szCs w:val="22"/>
        </w:rPr>
        <w:t xml:space="preserve"> </w:t>
      </w:r>
    </w:p>
    <w:p>
      <w:pPr>
        <w:pStyle w:val="Normal"/>
        <w:rPr>
          <w:rFonts w:ascii="Times New Roman" w:hAnsi="Times New Roman"/>
        </w:rPr>
      </w:pPr>
      <w:r>
        <w:rPr>
          <w:rFonts w:ascii="Times New Roman" w:hAnsi="Times New Roman"/>
          <w:b/>
          <w:bCs/>
          <w:sz w:val="22"/>
          <w:szCs w:val="22"/>
        </w:rPr>
        <w:t>Tema 4. Proceso ordinario</w:t>
      </w:r>
      <w:r>
        <w:rPr>
          <w:rFonts w:ascii="Times New Roman" w:hAnsi="Times New Roman"/>
          <w:bCs/>
          <w:sz w:val="22"/>
          <w:szCs w:val="22"/>
        </w:rPr>
        <w:t>. Á</w:t>
      </w:r>
      <w:r>
        <w:rPr>
          <w:rFonts w:ascii="Times New Roman" w:hAnsi="Times New Roman"/>
          <w:sz w:val="22"/>
          <w:szCs w:val="22"/>
        </w:rPr>
        <w:t>mbito de aplicación. Procedimiento. Inicio y plazo para contestar la demanda y reconvención. Procedimiento sin audiencia o en única audiencia. Audiencia preliminar. Dictado de la sentencia al finalizar la audiencia preliminar. Audiencia complementaria.</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5. Proceso incidental</w:t>
      </w:r>
      <w:r>
        <w:rPr>
          <w:rFonts w:ascii="Times New Roman" w:hAnsi="Times New Roman"/>
          <w:sz w:val="22"/>
          <w:szCs w:val="22"/>
        </w:rPr>
        <w:t xml:space="preserve">. Procedencia. </w:t>
      </w:r>
      <w:r>
        <w:rPr>
          <w:rFonts w:ascii="Times New Roman" w:hAnsi="Times New Roman"/>
          <w:sz w:val="22"/>
          <w:szCs w:val="22"/>
          <w:lang w:val="es-CR"/>
        </w:rPr>
        <w:t xml:space="preserve">Oportunidad. Simultaneidad. </w:t>
      </w:r>
      <w:r>
        <w:rPr>
          <w:rFonts w:ascii="Times New Roman" w:hAnsi="Times New Roman"/>
          <w:sz w:val="22"/>
          <w:szCs w:val="22"/>
        </w:rPr>
        <w:t xml:space="preserve">Efectos sobre el proceso principal. Caducidad. Procedimiento. Incidente en audiencia. </w:t>
      </w:r>
    </w:p>
    <w:p>
      <w:pPr>
        <w:pStyle w:val="BodyText2"/>
        <w:jc w:val="both"/>
        <w:rPr>
          <w:sz w:val="22"/>
          <w:szCs w:val="22"/>
        </w:rPr>
      </w:pPr>
      <w:r>
        <w:rPr>
          <w:sz w:val="22"/>
          <w:szCs w:val="22"/>
        </w:rPr>
        <w:t xml:space="preserve">Incidentes fuera de audiencia.  </w:t>
      </w:r>
    </w:p>
    <w:p>
      <w:pPr>
        <w:pStyle w:val="Normal"/>
        <w:rPr>
          <w:rFonts w:ascii="Times New Roman" w:hAnsi="Times New Roman"/>
        </w:rPr>
      </w:pPr>
      <w:r>
        <w:rPr>
          <w:rFonts w:ascii="Times New Roman" w:hAnsi="Times New Roman"/>
          <w:b/>
          <w:sz w:val="22"/>
          <w:szCs w:val="22"/>
          <w:lang w:val="es-CR"/>
        </w:rPr>
        <w:t>Tema 6. Proceso sumario</w:t>
      </w:r>
      <w:r>
        <w:rPr>
          <w:rFonts w:ascii="Times New Roman" w:hAnsi="Times New Roman"/>
          <w:sz w:val="22"/>
          <w:szCs w:val="22"/>
          <w:lang w:val="es-CR"/>
        </w:rPr>
        <w:t xml:space="preserve">. </w:t>
      </w:r>
      <w:r>
        <w:rPr>
          <w:rFonts w:ascii="Times New Roman" w:hAnsi="Times New Roman"/>
          <w:sz w:val="22"/>
          <w:szCs w:val="22"/>
        </w:rPr>
        <w:t>Ámbito de aplicación y pretensiones. Inicio y plazo para contestar la demanda. Audiencia. Sentencia desestimatoria y conversión a ordinario.</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7. Proceso sumario de desahucio</w:t>
      </w:r>
      <w:r>
        <w:rPr>
          <w:rFonts w:ascii="Times New Roman" w:hAnsi="Times New Roman"/>
          <w:sz w:val="22"/>
          <w:szCs w:val="22"/>
        </w:rPr>
        <w:t>. Procedencia. Legitimación. Requisitos de la demanda, documentos. Emplazamiento e intervención de terceros. Sentencia. Alquileres insolutos y derecho de retención.</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 xml:space="preserve">Tema 8. Reajuste del precio del arrendamiento. </w:t>
      </w:r>
      <w:r>
        <w:rPr>
          <w:rFonts w:ascii="Times New Roman" w:hAnsi="Times New Roman"/>
          <w:sz w:val="22"/>
          <w:szCs w:val="22"/>
        </w:rPr>
        <w:t xml:space="preserve">Procedencia. Requisitos de la demanda y documentos. Renta provisional. Sentencia estimatoria. Efectos de la sentencia y diferencias entre la renta provisional y la definitiva.   </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9. Interdictos posesorios</w:t>
      </w:r>
      <w:r>
        <w:rPr>
          <w:rFonts w:ascii="Times New Roman" w:hAnsi="Times New Roman"/>
          <w:sz w:val="22"/>
          <w:szCs w:val="22"/>
        </w:rPr>
        <w:t>. Procedencia y caducidad. Amparo de posesión. Restitución. Reposición de linderos. Condena en daños y perjuicios.</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10. Sumario de suspensión de obra nueva</w:t>
      </w:r>
      <w:r>
        <w:rPr>
          <w:rFonts w:ascii="Times New Roman" w:hAnsi="Times New Roman"/>
          <w:sz w:val="22"/>
          <w:szCs w:val="22"/>
        </w:rPr>
        <w:t>. Procedencia y suspensión de obra. Continuación de la obra. Sentencia estimatoria.</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11. Sumario de derribo</w:t>
      </w:r>
      <w:r>
        <w:rPr>
          <w:rFonts w:ascii="Times New Roman" w:hAnsi="Times New Roman"/>
          <w:sz w:val="22"/>
          <w:szCs w:val="22"/>
        </w:rPr>
        <w:t>. Procedencia y legitimación. Adopción de medidas de seguridad. Sentencia estimatoria.</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12. Sumario de jactancia</w:t>
      </w:r>
      <w:r>
        <w:rPr>
          <w:rFonts w:ascii="Times New Roman" w:hAnsi="Times New Roman"/>
          <w:sz w:val="22"/>
          <w:szCs w:val="22"/>
        </w:rPr>
        <w:t>. Procedencia y caducidad. Emplazamiento, intimación y efectos. Sentencia.</w:t>
      </w:r>
    </w:p>
    <w:p>
      <w:pPr>
        <w:pStyle w:val="Normal"/>
        <w:ind w:firstLine="708"/>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13. Otros procesos sumarios</w:t>
      </w:r>
      <w:r>
        <w:rPr>
          <w:rFonts w:ascii="Times New Roman" w:hAnsi="Times New Roman"/>
          <w:sz w:val="22"/>
          <w:szCs w:val="22"/>
        </w:rPr>
        <w:t>: (Sumarios de protección al consumidor. Sumarios de propiedad en condominio y otros).</w:t>
      </w:r>
    </w:p>
    <w:p>
      <w:pPr>
        <w:pStyle w:val="Normal"/>
        <w:rPr>
          <w:rFonts w:ascii="Times New Roman" w:hAnsi="Times New Roman"/>
          <w:b/>
          <w:sz w:val="22"/>
          <w:szCs w:val="22"/>
          <w:lang w:val="es-CR"/>
        </w:rPr>
      </w:pPr>
      <w:r>
        <w:rPr>
          <w:rFonts w:ascii="Times New Roman" w:hAnsi="Times New Roman"/>
          <w:b/>
          <w:sz w:val="22"/>
          <w:szCs w:val="22"/>
          <w:lang w:val="es-CR"/>
        </w:rPr>
      </w:r>
    </w:p>
    <w:p>
      <w:pPr>
        <w:pStyle w:val="Normal"/>
        <w:rPr>
          <w:rFonts w:ascii="Times New Roman" w:hAnsi="Times New Roman"/>
        </w:rPr>
      </w:pPr>
      <w:r>
        <w:rPr>
          <w:rFonts w:ascii="Times New Roman" w:hAnsi="Times New Roman"/>
          <w:b/>
          <w:sz w:val="22"/>
          <w:szCs w:val="22"/>
          <w:lang w:val="es-CR"/>
        </w:rPr>
        <w:t>Tema 14. Proceso monitorio</w:t>
      </w:r>
      <w:r>
        <w:rPr>
          <w:rFonts w:ascii="Times New Roman" w:hAnsi="Times New Roman"/>
          <w:sz w:val="22"/>
          <w:szCs w:val="22"/>
          <w:lang w:val="es-CR"/>
        </w:rPr>
        <w:t>. P</w:t>
      </w:r>
      <w:r>
        <w:rPr>
          <w:rFonts w:ascii="Times New Roman" w:hAnsi="Times New Roman"/>
          <w:sz w:val="22"/>
          <w:szCs w:val="22"/>
        </w:rPr>
        <w:t xml:space="preserve">rocedencia. </w:t>
      </w:r>
      <w:r>
        <w:rPr>
          <w:rFonts w:ascii="Times New Roman" w:hAnsi="Times New Roman"/>
          <w:sz w:val="22"/>
          <w:szCs w:val="22"/>
          <w:lang w:val="es-CR"/>
        </w:rPr>
        <w:t xml:space="preserve">Resolución intimatoria, oposición y efectos. Allanamiento y falta de oposición. </w:t>
      </w:r>
      <w:r>
        <w:rPr>
          <w:rFonts w:ascii="Times New Roman" w:hAnsi="Times New Roman"/>
          <w:sz w:val="22"/>
          <w:szCs w:val="22"/>
        </w:rPr>
        <w:t xml:space="preserve">Audiencia oral, sentencia y conversión a ordinario. </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15. Monitorio dinerario</w:t>
      </w:r>
      <w:r>
        <w:rPr>
          <w:rFonts w:ascii="Times New Roman" w:hAnsi="Times New Roman"/>
          <w:sz w:val="22"/>
          <w:szCs w:val="22"/>
        </w:rPr>
        <w:t xml:space="preserve">. Documento. </w:t>
      </w:r>
      <w:r>
        <w:rPr>
          <w:rFonts w:ascii="Times New Roman" w:hAnsi="Times New Roman"/>
          <w:sz w:val="22"/>
          <w:szCs w:val="22"/>
          <w:lang w:val="es-CR"/>
        </w:rPr>
        <w:t>Títulos ejecutivos. I</w:t>
      </w:r>
      <w:r>
        <w:rPr>
          <w:rFonts w:ascii="Times New Roman" w:hAnsi="Times New Roman"/>
          <w:sz w:val="22"/>
          <w:szCs w:val="22"/>
        </w:rPr>
        <w:t xml:space="preserve">ntimación de pago y embargo. Contenido de la oposición. </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16. Monitorio arrendaticio.</w:t>
      </w:r>
      <w:r>
        <w:rPr>
          <w:rFonts w:ascii="Times New Roman" w:hAnsi="Times New Roman"/>
          <w:sz w:val="22"/>
          <w:szCs w:val="22"/>
        </w:rPr>
        <w:t xml:space="preserve"> Prueba de la legitimación. Intimación de desalojo. Contenido de la oposición. Integración normativa.</w:t>
      </w:r>
    </w:p>
    <w:p>
      <w:pPr>
        <w:pStyle w:val="Ttulo1"/>
        <w:tabs>
          <w:tab w:val="clear" w:pos="708"/>
          <w:tab w:val="left" w:pos="0" w:leader="none"/>
        </w:tabs>
        <w:suppressAutoHyphens w:val="true"/>
        <w:jc w:val="both"/>
        <w:rPr>
          <w:rFonts w:ascii="Times New Roman" w:hAnsi="Times New Roman"/>
        </w:rPr>
      </w:pPr>
      <w:r>
        <w:rPr>
          <w:rFonts w:ascii="Times New Roman" w:hAnsi="Times New Roman"/>
          <w:bCs w:val="false"/>
          <w:sz w:val="22"/>
          <w:szCs w:val="22"/>
        </w:rPr>
        <w:t>Tema 17</w:t>
      </w:r>
      <w:r>
        <w:rPr>
          <w:rFonts w:ascii="Times New Roman" w:hAnsi="Times New Roman"/>
          <w:b w:val="false"/>
          <w:bCs w:val="false"/>
          <w:sz w:val="22"/>
          <w:szCs w:val="22"/>
        </w:rPr>
        <w:t xml:space="preserve">. </w:t>
      </w:r>
      <w:r>
        <w:rPr>
          <w:rFonts w:ascii="Times New Roman" w:hAnsi="Times New Roman"/>
          <w:bCs w:val="false"/>
          <w:sz w:val="22"/>
          <w:szCs w:val="22"/>
        </w:rPr>
        <w:t>Proceso de ejecución</w:t>
      </w:r>
      <w:r>
        <w:rPr>
          <w:rFonts w:ascii="Times New Roman" w:hAnsi="Times New Roman"/>
          <w:b w:val="false"/>
          <w:bCs w:val="false"/>
          <w:sz w:val="22"/>
          <w:szCs w:val="22"/>
        </w:rPr>
        <w:t xml:space="preserve">. </w:t>
      </w:r>
      <w:r>
        <w:rPr>
          <w:rFonts w:ascii="Times New Roman" w:hAnsi="Times New Roman"/>
          <w:b w:val="false"/>
          <w:sz w:val="22"/>
          <w:szCs w:val="22"/>
        </w:rPr>
        <w:t>Inicio de la ejecución y competencia. Allanamiento. Efectos de la ejecución imposible. Imputación de pagos. Adecuación de las sentencias.</w:t>
      </w:r>
    </w:p>
    <w:p>
      <w:pPr>
        <w:pStyle w:val="Ttulo4"/>
        <w:jc w:val="both"/>
        <w:rPr>
          <w:rFonts w:ascii="Times New Roman" w:hAnsi="Times New Roman"/>
        </w:rPr>
      </w:pPr>
      <w:r>
        <w:rPr>
          <w:rFonts w:ascii="Times New Roman" w:hAnsi="Times New Roman"/>
          <w:bCs w:val="false"/>
          <w:sz w:val="22"/>
          <w:szCs w:val="22"/>
          <w:lang w:val="es-CR"/>
        </w:rPr>
        <w:t>Tema 18</w:t>
      </w:r>
      <w:r>
        <w:rPr>
          <w:rFonts w:ascii="Times New Roman" w:hAnsi="Times New Roman"/>
          <w:b w:val="false"/>
          <w:bCs w:val="false"/>
          <w:sz w:val="22"/>
          <w:szCs w:val="22"/>
          <w:lang w:val="es-CR"/>
        </w:rPr>
        <w:t xml:space="preserve">. </w:t>
      </w:r>
      <w:r>
        <w:rPr>
          <w:rFonts w:ascii="Times New Roman" w:hAnsi="Times New Roman"/>
          <w:bCs w:val="false"/>
          <w:sz w:val="22"/>
          <w:szCs w:val="22"/>
          <w:lang w:val="es-CR"/>
        </w:rPr>
        <w:t>Ejecución provisional</w:t>
      </w:r>
      <w:r>
        <w:rPr>
          <w:rFonts w:ascii="Times New Roman" w:hAnsi="Times New Roman"/>
          <w:b w:val="false"/>
          <w:bCs w:val="false"/>
          <w:sz w:val="22"/>
          <w:szCs w:val="22"/>
          <w:lang w:val="es-CR"/>
        </w:rPr>
        <w:t xml:space="preserve">. </w:t>
      </w:r>
      <w:r>
        <w:rPr>
          <w:rFonts w:ascii="Times New Roman" w:hAnsi="Times New Roman"/>
          <w:b w:val="false"/>
          <w:sz w:val="22"/>
          <w:szCs w:val="22"/>
          <w:lang w:val="es-CR"/>
        </w:rPr>
        <w:t xml:space="preserve">Procedencia de la ejecución provisional. </w:t>
      </w:r>
      <w:r>
        <w:rPr>
          <w:rFonts w:ascii="Times New Roman" w:hAnsi="Times New Roman"/>
          <w:b w:val="false"/>
          <w:sz w:val="22"/>
          <w:szCs w:val="22"/>
        </w:rPr>
        <w:t>Requisitos de la solicitud y admisión en ejecución provisional de condenas no dinerarias. Oposición a la ejecución provisional de sentencias de condena no dinerarias. Causales de oposición. Procedimiento de la oposición. Efectos de la revocatoria de la sentencia no dineraria ejecutada provisionalmente. Ejecución provisional de condenas dinerarias.</w:t>
      </w:r>
    </w:p>
    <w:p>
      <w:pPr>
        <w:pStyle w:val="Ttulo4"/>
        <w:jc w:val="both"/>
        <w:rPr>
          <w:rFonts w:ascii="Times New Roman" w:hAnsi="Times New Roman"/>
        </w:rPr>
      </w:pPr>
      <w:r>
        <w:rPr>
          <w:rFonts w:ascii="Times New Roman" w:hAnsi="Times New Roman"/>
          <w:bCs w:val="false"/>
          <w:sz w:val="22"/>
          <w:szCs w:val="22"/>
          <w:lang w:val="es-CR"/>
        </w:rPr>
        <w:t>Tema 19. Procedimientos de ejecución</w:t>
      </w:r>
      <w:r>
        <w:rPr>
          <w:rFonts w:ascii="Times New Roman" w:hAnsi="Times New Roman"/>
          <w:b w:val="false"/>
          <w:bCs w:val="false"/>
          <w:sz w:val="22"/>
          <w:szCs w:val="22"/>
          <w:lang w:val="es-CR"/>
        </w:rPr>
        <w:t>. S</w:t>
      </w:r>
      <w:r>
        <w:rPr>
          <w:rFonts w:ascii="Times New Roman" w:hAnsi="Times New Roman"/>
          <w:b w:val="false"/>
          <w:sz w:val="22"/>
          <w:szCs w:val="22"/>
        </w:rPr>
        <w:t xml:space="preserve">entencias de condena sobre extremos económicos determinables en dinero. Procedimiento para cuantificar extremos económicos, cantidad por liquidar y rendición de cuentas. </w:t>
      </w:r>
      <w:r>
        <w:rPr>
          <w:rFonts w:ascii="Times New Roman" w:hAnsi="Times New Roman"/>
          <w:b w:val="false"/>
          <w:sz w:val="22"/>
          <w:szCs w:val="22"/>
          <w:lang w:val="es-CR"/>
        </w:rPr>
        <w:t xml:space="preserve">Condena de dar. </w:t>
      </w:r>
      <w:r>
        <w:rPr>
          <w:rFonts w:ascii="Times New Roman" w:hAnsi="Times New Roman"/>
          <w:b w:val="false"/>
          <w:sz w:val="22"/>
          <w:szCs w:val="22"/>
        </w:rPr>
        <w:t xml:space="preserve">Condena de hacer. </w:t>
      </w:r>
      <w:r>
        <w:rPr>
          <w:rFonts w:ascii="Times New Roman" w:hAnsi="Times New Roman"/>
          <w:b w:val="false"/>
          <w:sz w:val="22"/>
          <w:szCs w:val="22"/>
          <w:lang w:val="es-CR"/>
        </w:rPr>
        <w:t xml:space="preserve">Condena de no hacer. </w:t>
      </w:r>
      <w:r>
        <w:rPr>
          <w:rFonts w:ascii="Times New Roman" w:hAnsi="Times New Roman"/>
          <w:b w:val="false"/>
          <w:sz w:val="22"/>
          <w:szCs w:val="22"/>
        </w:rPr>
        <w:t>Frutos en especie y efectos de comercio. Embargo.</w:t>
      </w:r>
    </w:p>
    <w:p>
      <w:pPr>
        <w:pStyle w:val="Ttulo3"/>
        <w:numPr>
          <w:ilvl w:val="2"/>
          <w:numId w:val="2"/>
        </w:numPr>
        <w:tabs>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Times New Roman" w:hAnsi="Times New Roman"/>
          <w:bCs/>
          <w:sz w:val="22"/>
          <w:szCs w:val="22"/>
          <w:lang w:val="es-CR"/>
        </w:rPr>
      </w:pPr>
      <w:r>
        <w:rPr>
          <w:rFonts w:ascii="Times New Roman" w:hAnsi="Times New Roman"/>
          <w:bCs/>
          <w:sz w:val="22"/>
          <w:szCs w:val="22"/>
          <w:lang w:val="es-CR"/>
        </w:rPr>
      </w:r>
    </w:p>
    <w:p>
      <w:pPr>
        <w:pStyle w:val="Normal"/>
        <w:rPr>
          <w:rFonts w:ascii="Times New Roman" w:hAnsi="Times New Roman"/>
        </w:rPr>
      </w:pPr>
      <w:r>
        <w:rPr>
          <w:rFonts w:ascii="Times New Roman" w:hAnsi="Times New Roman"/>
          <w:b/>
          <w:sz w:val="22"/>
          <w:szCs w:val="22"/>
          <w:lang w:val="es-CR" w:eastAsia="zh-CN"/>
        </w:rPr>
        <w:t>Tema 20. Ejecución por suma líquida</w:t>
      </w:r>
      <w:r>
        <w:rPr>
          <w:rFonts w:ascii="Times New Roman" w:hAnsi="Times New Roman"/>
          <w:sz w:val="22"/>
          <w:szCs w:val="22"/>
          <w:lang w:val="es-CR" w:eastAsia="zh-CN"/>
        </w:rPr>
        <w:t>. P</w:t>
      </w:r>
      <w:r>
        <w:rPr>
          <w:rFonts w:ascii="Times New Roman" w:hAnsi="Times New Roman"/>
          <w:sz w:val="22"/>
          <w:szCs w:val="22"/>
        </w:rPr>
        <w:t xml:space="preserve">rocedencia. Embargo. Decreto de embargo. </w:t>
      </w:r>
      <w:r>
        <w:rPr>
          <w:rFonts w:ascii="Times New Roman" w:hAnsi="Times New Roman"/>
          <w:sz w:val="22"/>
          <w:szCs w:val="22"/>
          <w:lang w:val="es-CR"/>
        </w:rPr>
        <w:t xml:space="preserve">Práctica del embargo. Embargo de bienes productivos. Custodia de dineros producto de embargos. Venta anticipada de bienes embargados. Modificación, sustitución y levantamiento del embargo. </w:t>
      </w:r>
      <w:r>
        <w:rPr>
          <w:rFonts w:ascii="Times New Roman" w:hAnsi="Times New Roman"/>
          <w:sz w:val="22"/>
          <w:szCs w:val="22"/>
        </w:rPr>
        <w:t xml:space="preserve">Levantamiento de embargo sin tercería. Preferencia entre embargantes. </w:t>
      </w:r>
    </w:p>
    <w:p>
      <w:pPr>
        <w:pStyle w:val="Normal"/>
        <w:rPr>
          <w:rFonts w:ascii="Times New Roman" w:hAnsi="Times New Roman"/>
          <w:b/>
          <w:sz w:val="22"/>
          <w:szCs w:val="22"/>
        </w:rPr>
      </w:pPr>
      <w:r>
        <w:rPr>
          <w:rFonts w:ascii="Times New Roman" w:hAnsi="Times New Roman"/>
          <w:b/>
          <w:sz w:val="22"/>
          <w:szCs w:val="22"/>
        </w:rPr>
      </w:r>
    </w:p>
    <w:p>
      <w:pPr>
        <w:pStyle w:val="Normal"/>
        <w:rPr>
          <w:rFonts w:ascii="Times New Roman" w:hAnsi="Times New Roman"/>
        </w:rPr>
      </w:pPr>
      <w:r>
        <w:rPr>
          <w:rFonts w:ascii="Times New Roman" w:hAnsi="Times New Roman"/>
          <w:b/>
          <w:sz w:val="22"/>
          <w:szCs w:val="22"/>
        </w:rPr>
        <w:t>Tema 21. Realización de bienes</w:t>
      </w:r>
      <w:r>
        <w:rPr>
          <w:rFonts w:ascii="Times New Roman" w:hAnsi="Times New Roman"/>
          <w:sz w:val="22"/>
          <w:szCs w:val="22"/>
        </w:rPr>
        <w:t xml:space="preserve">. Venta de valores o efectos negociables en bolsa. Actos preparatorios del remate. Concurrencia de acreedores sobre el mismo bien. Solicitud de remate. </w:t>
      </w:r>
      <w:r>
        <w:rPr>
          <w:rFonts w:ascii="Times New Roman" w:hAnsi="Times New Roman"/>
          <w:sz w:val="22"/>
          <w:szCs w:val="22"/>
          <w:lang w:val="es-CR"/>
        </w:rPr>
        <w:t>Base del remate.</w:t>
      </w:r>
      <w:r>
        <w:rPr>
          <w:rFonts w:ascii="Times New Roman" w:hAnsi="Times New Roman"/>
          <w:sz w:val="22"/>
          <w:szCs w:val="22"/>
        </w:rPr>
        <w:t xml:space="preserve">Orden de remate y notificaciones. Publicación del aviso. Suspensión del remate. Remate. Presentación de los bienes y celebración del remate en lugar donde estos se encuentren. Remate fracasado. Remate insubsistente. Aprobación, protocolización, cancelación de gravámenes y entrega del bien. </w:t>
      </w:r>
      <w:r>
        <w:rPr>
          <w:rFonts w:ascii="Times New Roman" w:hAnsi="Times New Roman"/>
          <w:sz w:val="22"/>
          <w:szCs w:val="22"/>
          <w:lang w:val="es-CR"/>
        </w:rPr>
        <w:t xml:space="preserve">Liquidación del producto del remate. </w:t>
      </w:r>
      <w:r>
        <w:rPr>
          <w:rFonts w:ascii="Times New Roman" w:hAnsi="Times New Roman"/>
          <w:sz w:val="22"/>
          <w:szCs w:val="22"/>
        </w:rPr>
        <w:t>Impugnación del remate.</w:t>
      </w:r>
    </w:p>
    <w:p>
      <w:pPr>
        <w:pStyle w:val="Normal"/>
        <w:tabs>
          <w:tab w:val="clear" w:pos="708"/>
          <w:tab w:val="left" w:pos="-720" w:leader="none"/>
        </w:tabs>
        <w:rPr>
          <w:rFonts w:ascii="Times New Roman" w:hAnsi="Times New Roman"/>
          <w:b/>
          <w:sz w:val="22"/>
          <w:szCs w:val="22"/>
        </w:rPr>
      </w:pPr>
      <w:r>
        <w:rPr>
          <w:rFonts w:ascii="Times New Roman" w:hAnsi="Times New Roman"/>
          <w:b/>
          <w:sz w:val="22"/>
          <w:szCs w:val="22"/>
        </w:rPr>
      </w:r>
    </w:p>
    <w:p>
      <w:pPr>
        <w:pStyle w:val="Normal"/>
        <w:tabs>
          <w:tab w:val="clear" w:pos="708"/>
          <w:tab w:val="left" w:pos="-720" w:leader="none"/>
        </w:tabs>
        <w:rPr>
          <w:rFonts w:ascii="Times New Roman" w:hAnsi="Times New Roman"/>
        </w:rPr>
      </w:pPr>
      <w:r>
        <w:rPr>
          <w:rFonts w:ascii="Times New Roman" w:hAnsi="Times New Roman"/>
          <w:b/>
          <w:sz w:val="22"/>
          <w:szCs w:val="22"/>
        </w:rPr>
        <w:t>Tema 22. Ejecución hipotecaria y prendaria</w:t>
      </w:r>
      <w:r>
        <w:rPr>
          <w:rFonts w:ascii="Times New Roman" w:hAnsi="Times New Roman"/>
          <w:sz w:val="22"/>
          <w:szCs w:val="22"/>
        </w:rPr>
        <w:t>. T</w:t>
      </w:r>
      <w:r>
        <w:rPr>
          <w:rFonts w:ascii="Times New Roman" w:hAnsi="Times New Roman"/>
          <w:sz w:val="22"/>
          <w:szCs w:val="22"/>
          <w:lang w:val="es-CR"/>
        </w:rPr>
        <w:t xml:space="preserve">ítulos. </w:t>
      </w:r>
      <w:r>
        <w:rPr>
          <w:rFonts w:ascii="Times New Roman" w:hAnsi="Times New Roman"/>
          <w:sz w:val="22"/>
          <w:szCs w:val="22"/>
        </w:rPr>
        <w:t>Demanda y resolución inicial</w:t>
      </w:r>
      <w:r>
        <w:rPr>
          <w:rFonts w:ascii="Times New Roman" w:hAnsi="Times New Roman"/>
          <w:b/>
          <w:sz w:val="22"/>
          <w:szCs w:val="22"/>
        </w:rPr>
        <w:t xml:space="preserve">. </w:t>
      </w:r>
      <w:r>
        <w:rPr>
          <w:rFonts w:ascii="Times New Roman" w:hAnsi="Times New Roman"/>
          <w:sz w:val="22"/>
          <w:szCs w:val="22"/>
        </w:rPr>
        <w:t>Oposición</w:t>
      </w:r>
      <w:r>
        <w:rPr>
          <w:rFonts w:ascii="Times New Roman" w:hAnsi="Times New Roman"/>
          <w:b/>
          <w:sz w:val="22"/>
          <w:szCs w:val="22"/>
        </w:rPr>
        <w:t xml:space="preserve">. </w:t>
      </w:r>
      <w:r>
        <w:rPr>
          <w:rFonts w:ascii="Times New Roman" w:hAnsi="Times New Roman"/>
          <w:sz w:val="22"/>
          <w:szCs w:val="22"/>
        </w:rPr>
        <w:t>Desmejoramiento de la garantía</w:t>
      </w:r>
      <w:r>
        <w:rPr>
          <w:rFonts w:ascii="Times New Roman" w:hAnsi="Times New Roman"/>
          <w:b/>
          <w:sz w:val="22"/>
          <w:szCs w:val="22"/>
        </w:rPr>
        <w:t xml:space="preserve">. </w:t>
      </w:r>
      <w:r>
        <w:rPr>
          <w:rFonts w:ascii="Times New Roman" w:hAnsi="Times New Roman"/>
          <w:sz w:val="22"/>
          <w:szCs w:val="22"/>
        </w:rPr>
        <w:t>Cobro de saldo en descubierto e inicio de proceso concursal. Integración normativa.</w:t>
      </w:r>
    </w:p>
    <w:p>
      <w:pPr>
        <w:pStyle w:val="Normal"/>
        <w:tabs>
          <w:tab w:val="clear" w:pos="708"/>
          <w:tab w:val="left" w:pos="-720" w:leader="none"/>
        </w:tabs>
        <w:rPr>
          <w:rFonts w:ascii="Times New Roman" w:hAnsi="Times New Roman"/>
          <w:sz w:val="22"/>
          <w:szCs w:val="22"/>
        </w:rPr>
      </w:pPr>
      <w:r>
        <w:rPr>
          <w:rFonts w:ascii="Times New Roman" w:hAnsi="Times New Roman"/>
          <w:sz w:val="22"/>
          <w:szCs w:val="22"/>
        </w:rPr>
        <w:tab/>
      </w:r>
    </w:p>
    <w:p>
      <w:pPr>
        <w:pStyle w:val="Normal"/>
        <w:tabs>
          <w:tab w:val="clear" w:pos="708"/>
          <w:tab w:val="left" w:pos="-720" w:leader="none"/>
        </w:tabs>
        <w:rPr>
          <w:rFonts w:ascii="Times New Roman" w:hAnsi="Times New Roman"/>
          <w:sz w:val="22"/>
          <w:szCs w:val="22"/>
        </w:rPr>
      </w:pPr>
      <w:r>
        <w:rPr>
          <w:rFonts w:ascii="Times New Roman" w:hAnsi="Times New Roman"/>
          <w:b/>
          <w:sz w:val="22"/>
          <w:szCs w:val="22"/>
        </w:rPr>
        <w:t>Tema 23</w:t>
      </w:r>
      <w:r>
        <w:rPr>
          <w:rFonts w:ascii="Times New Roman" w:hAnsi="Times New Roman"/>
          <w:sz w:val="22"/>
          <w:szCs w:val="22"/>
        </w:rPr>
        <w:t xml:space="preserve">. </w:t>
      </w:r>
      <w:r>
        <w:rPr>
          <w:rFonts w:ascii="Times New Roman" w:hAnsi="Times New Roman"/>
          <w:b/>
          <w:sz w:val="22"/>
          <w:szCs w:val="22"/>
        </w:rPr>
        <w:t>Tercerías</w:t>
      </w:r>
      <w:r>
        <w:rPr>
          <w:rFonts w:ascii="Times New Roman" w:hAnsi="Times New Roman"/>
          <w:sz w:val="22"/>
          <w:szCs w:val="22"/>
        </w:rPr>
        <w:t xml:space="preserve">. Clases de tercerías. </w:t>
      </w:r>
      <w:r>
        <w:rPr>
          <w:rFonts w:ascii="Times New Roman" w:hAnsi="Times New Roman"/>
          <w:sz w:val="22"/>
          <w:szCs w:val="22"/>
          <w:lang w:val="es-CR"/>
        </w:rPr>
        <w:t>Admisibilidad. Requisitos de la demanda y documentos. O</w:t>
      </w:r>
      <w:r>
        <w:rPr>
          <w:rFonts w:ascii="Times New Roman" w:hAnsi="Times New Roman"/>
          <w:sz w:val="22"/>
          <w:szCs w:val="22"/>
        </w:rPr>
        <w:t xml:space="preserve">portunidad. </w:t>
      </w:r>
      <w:r>
        <w:rPr>
          <w:rFonts w:ascii="Times New Roman" w:hAnsi="Times New Roman"/>
          <w:sz w:val="22"/>
          <w:szCs w:val="22"/>
          <w:lang w:val="es-CR"/>
        </w:rPr>
        <w:t>Efectos procesales de la tercería</w:t>
      </w:r>
      <w:r>
        <w:rPr>
          <w:rFonts w:ascii="Times New Roman" w:hAnsi="Times New Roman"/>
          <w:b/>
          <w:i/>
          <w:sz w:val="22"/>
          <w:szCs w:val="22"/>
          <w:lang w:val="es-CR"/>
        </w:rPr>
        <w:t>.</w:t>
      </w:r>
      <w:r>
        <w:rPr>
          <w:rFonts w:ascii="Times New Roman" w:hAnsi="Times New Roman"/>
          <w:sz w:val="22"/>
          <w:szCs w:val="22"/>
        </w:rPr>
        <w:t>Procedimiento</w:t>
      </w:r>
      <w:r>
        <w:rPr>
          <w:rFonts w:ascii="Times New Roman" w:hAnsi="Times New Roman"/>
          <w:b/>
          <w:i/>
          <w:sz w:val="22"/>
          <w:szCs w:val="22"/>
        </w:rPr>
        <w:t xml:space="preserve">. </w:t>
      </w:r>
      <w:r>
        <w:rPr>
          <w:rFonts w:ascii="Times New Roman" w:hAnsi="Times New Roman"/>
          <w:sz w:val="22"/>
          <w:szCs w:val="22"/>
        </w:rPr>
        <w:t>Efectos de la extinción del proceso sobre las tercerías de distribución.</w:t>
      </w:r>
    </w:p>
    <w:p>
      <w:pPr>
        <w:pStyle w:val="Normal"/>
        <w:tabs>
          <w:tab w:val="clear" w:pos="708"/>
          <w:tab w:val="left" w:pos="-720" w:leader="none"/>
        </w:tabs>
        <w:rPr>
          <w:rFonts w:ascii="Times New Roman" w:hAnsi="Times New Roman"/>
          <w:sz w:val="22"/>
          <w:szCs w:val="22"/>
        </w:rPr>
      </w:pPr>
      <w:r>
        <w:rPr>
          <w:rFonts w:ascii="Times New Roman" w:hAnsi="Times New Roman"/>
          <w:sz w:val="22"/>
          <w:szCs w:val="22"/>
        </w:rPr>
      </w:r>
    </w:p>
    <w:p>
      <w:pPr>
        <w:pStyle w:val="Normal"/>
        <w:tabs>
          <w:tab w:val="clear" w:pos="708"/>
          <w:tab w:val="left" w:pos="-720" w:leader="none"/>
        </w:tabs>
        <w:rPr>
          <w:rFonts w:ascii="Times New Roman" w:hAnsi="Times New Roman"/>
          <w:sz w:val="22"/>
          <w:szCs w:val="22"/>
        </w:rPr>
      </w:pPr>
      <w:r>
        <w:rPr>
          <w:rFonts w:ascii="Times New Roman" w:hAnsi="Times New Roman"/>
          <w:b/>
          <w:bCs/>
          <w:sz w:val="22"/>
          <w:szCs w:val="22"/>
        </w:rPr>
        <w:t xml:space="preserve">Tema: 24. Generalidades sobre derecho procesal concursal. </w:t>
      </w:r>
      <w:r>
        <w:rPr>
          <w:rFonts w:ascii="Times New Roman" w:hAnsi="Times New Roman"/>
          <w:sz w:val="22"/>
          <w:szCs w:val="22"/>
        </w:rPr>
        <w:t>Finalidad y principios del proceso concursal. Presupuestos del proceso concursal. Procedimiento.</w:t>
      </w:r>
    </w:p>
    <w:p>
      <w:pPr>
        <w:pStyle w:val="Normal"/>
        <w:tabs>
          <w:tab w:val="clear" w:pos="708"/>
          <w:tab w:val="left" w:pos="-720" w:leader="none"/>
        </w:tabs>
        <w:rPr>
          <w:rFonts w:ascii="Times New Roman" w:hAnsi="Times New Roman"/>
        </w:rPr>
      </w:pPr>
      <w:r>
        <w:rPr>
          <w:rFonts w:ascii="Times New Roman" w:hAnsi="Times New Roman"/>
        </w:rPr>
      </w:r>
    </w:p>
    <w:p>
      <w:pPr>
        <w:pStyle w:val="BodyText2"/>
        <w:tabs>
          <w:tab w:val="clear" w:pos="708"/>
          <w:tab w:val="left" w:pos="0" w:leader="none"/>
        </w:tabs>
        <w:spacing w:lineRule="auto" w:line="240"/>
        <w:jc w:val="both"/>
        <w:rPr/>
      </w:pPr>
      <w:r>
        <w:rPr>
          <w:b/>
          <w:bCs/>
          <w:sz w:val="22"/>
          <w:szCs w:val="22"/>
        </w:rPr>
        <w:t>Tema 25</w:t>
      </w:r>
      <w:r>
        <w:rPr>
          <w:bCs/>
          <w:sz w:val="22"/>
          <w:szCs w:val="22"/>
        </w:rPr>
        <w:t xml:space="preserve">. </w:t>
      </w:r>
      <w:r>
        <w:rPr>
          <w:b/>
          <w:bCs/>
          <w:sz w:val="22"/>
          <w:szCs w:val="22"/>
        </w:rPr>
        <w:t>Proceso no contencioso</w:t>
      </w:r>
      <w:r>
        <w:rPr>
          <w:bCs/>
          <w:sz w:val="22"/>
          <w:szCs w:val="22"/>
        </w:rPr>
        <w:t xml:space="preserve">. </w:t>
      </w:r>
      <w:r>
        <w:rPr>
          <w:sz w:val="22"/>
          <w:szCs w:val="22"/>
        </w:rPr>
        <w:t>Procedencia. Procedimiento. Solicitud y audiencia inicial. Efectos de la oposición. Efectos de la oposición en supuestos especiales. Pago por consignación. Oferta de pago. Aceptación de la oferta. Presunción de negativa a aceptar la oferta. Consignación. Procedimiento. Consignación sin necesidad de oferta. Deslinde y demarcación de linderos. Procedencia. Procedimiento. Remisión al proceso ordinario. Declaratoria de ausencia. Procedimiento para decretar medidas provisionales antes de la declaratoria de ausencia. Procedimiento de la declaratoria de ausencia. Administración de bienes por declaratoria de ausencia. Presunción de muerte. Información posesoria y localización de derechos.</w:t>
      </w:r>
    </w:p>
    <w:p>
      <w:pPr>
        <w:pStyle w:val="Normal"/>
        <w:rPr>
          <w:rFonts w:ascii="Times New Roman" w:hAnsi="Times New Roman"/>
        </w:rPr>
      </w:pPr>
      <w:r>
        <w:rPr>
          <w:rFonts w:ascii="Times New Roman" w:hAnsi="Times New Roman"/>
          <w:b/>
          <w:sz w:val="22"/>
          <w:szCs w:val="22"/>
        </w:rPr>
        <w:t xml:space="preserve">Tema 26. Proceso arbitral. </w:t>
      </w:r>
      <w:r>
        <w:rPr>
          <w:rFonts w:ascii="Times New Roman" w:hAnsi="Times New Roman"/>
          <w:sz w:val="22"/>
          <w:szCs w:val="22"/>
        </w:rPr>
        <w:t>Compromiso. Tipos de arbitraje.</w:t>
      </w:r>
      <w:r>
        <w:rPr>
          <w:rFonts w:ascii="Times New Roman" w:hAnsi="Times New Roman"/>
          <w:bCs/>
          <w:sz w:val="22"/>
          <w:szCs w:val="22"/>
        </w:rPr>
        <w:t xml:space="preserve"> Composición de tribunal. Legislación aplicable. Condiciones del acuerdo. Número de árbitros. Requisitos de los árbitros. Composición del Tribunal. Plazos. Recusación. Competencia. Procedimiento arbitral. Medidas cautelares. Laudo. Recursos contra el laudo. Honorarios.</w:t>
      </w:r>
      <w:r>
        <w:rPr>
          <w:rFonts w:ascii="Times New Roman" w:hAnsi="Times New Roman"/>
          <w:b/>
          <w:bCs/>
          <w:sz w:val="22"/>
          <w:szCs w:val="22"/>
        </w:rPr>
        <w:t xml:space="preserve"> </w:t>
      </w:r>
    </w:p>
    <w:p>
      <w:pPr>
        <w:pStyle w:val="Normal"/>
        <w:widowControl w:val="false"/>
        <w:rPr>
          <w:rFonts w:ascii="Times New Roman" w:hAnsi="Times New Roman"/>
          <w:b/>
          <w:sz w:val="22"/>
          <w:szCs w:val="22"/>
          <w:u w:val="single"/>
        </w:rPr>
      </w:pPr>
      <w:r>
        <w:rPr>
          <w:rFonts w:ascii="Times New Roman" w:hAnsi="Times New Roman"/>
          <w:b/>
          <w:sz w:val="22"/>
          <w:szCs w:val="22"/>
          <w:u w:val="single"/>
        </w:rPr>
      </w:r>
    </w:p>
    <w:p>
      <w:pPr>
        <w:pStyle w:val="Normal"/>
        <w:widowControl w:val="false"/>
        <w:rPr>
          <w:rFonts w:ascii="Times New Roman" w:hAnsi="Times New Roman"/>
          <w:b/>
          <w:sz w:val="22"/>
          <w:szCs w:val="22"/>
          <w:u w:val="single"/>
        </w:rPr>
      </w:pPr>
      <w:r>
        <w:rPr>
          <w:rFonts w:ascii="Times New Roman" w:hAnsi="Times New Roman"/>
          <w:b/>
          <w:sz w:val="22"/>
          <w:szCs w:val="22"/>
          <w:u w:val="single"/>
        </w:rPr>
      </w:r>
    </w:p>
    <w:p>
      <w:pPr>
        <w:pStyle w:val="Normal"/>
        <w:widowControl w:val="false"/>
        <w:jc w:val="center"/>
        <w:rPr>
          <w:highlight w:val="none"/>
          <w:shd w:fill="FFFF00" w:val="clear"/>
        </w:rPr>
      </w:pPr>
      <w:r>
        <w:rPr>
          <w:rFonts w:ascii="Times New Roman" w:hAnsi="Times New Roman"/>
          <w:b/>
          <w:sz w:val="22"/>
          <w:szCs w:val="22"/>
          <w:u w:val="single"/>
          <w:shd w:fill="FFFF00" w:val="clear"/>
        </w:rPr>
        <w:t>METODOLOGÍA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curso combina clases magistrales presenciales con clases magistrales virtuales, con la utilización de otras técnicas de enseñanza que permitan al estudiante aprender haciendo y viendo. Se impartirá bajo la </w:t>
      </w:r>
      <w:r>
        <w:rPr>
          <w:rFonts w:ascii="Times New Roman" w:hAnsi="Times New Roman"/>
          <w:b/>
          <w:bCs/>
          <w:sz w:val="22"/>
          <w:szCs w:val="22"/>
        </w:rPr>
        <w:t>modalidad bajo virtual (25%)</w:t>
      </w:r>
      <w:r>
        <w:rPr>
          <w:rFonts w:ascii="Times New Roman" w:hAnsi="Times New Roman"/>
          <w:sz w:val="22"/>
          <w:szCs w:val="22"/>
        </w:rPr>
        <w:t xml:space="preserve">, por lo cual algunas de las actividades, sincrónicas o asincrónicas, se realizarán a través de la plataforma </w:t>
      </w:r>
      <w:r>
        <w:rPr>
          <w:rFonts w:ascii="Times New Roman" w:hAnsi="Times New Roman"/>
          <w:b/>
          <w:bCs/>
          <w:sz w:val="22"/>
          <w:szCs w:val="22"/>
        </w:rPr>
        <w:t>MEDIACIÓN VIRTUAL</w:t>
      </w:r>
      <w:r>
        <w:rPr>
          <w:rFonts w:ascii="Times New Roman" w:hAnsi="Times New Roman"/>
          <w:sz w:val="22"/>
          <w:szCs w:val="22"/>
        </w:rPr>
        <w:t xml:space="preserve"> de la UNIVERSIDAD DE COSTA RICA, sin que se excluya otros medios de comunicación como correo electrónico, Whatsapp, Teams, etc.  Las clases o reuniones virtuales se realizarán en el horario de clase establecido en la universidad, salvo acuerdo del profesor con todos los estudiantes para hacerlo en otro horario. La clase presencial se realizará, necesariamente, en el horario de clase. Es indispensable recurrir al aprendizaje basado en problemas, a técnicas de aprendizaje colaborativo (foros) y al análisis de casos. Para tal efecto se debe recurrir a la utilización de tecnologías. Por ello, además de las clases a cargo del profesor, se recomienda la asignación de lecturas previas y la resolución de casos con posteriores discusiones y análisis virtuales. Para el estudio de algunos temas, el profesor debe recomendar a los estudiantes la observación de conferencias que se encuentren en las redes sociales con posterior análisis grupal.  </w:t>
      </w:r>
    </w:p>
    <w:p>
      <w:pPr>
        <w:pStyle w:val="Normal"/>
        <w:widowControl w:val="false"/>
        <w:rPr>
          <w:rFonts w:ascii="Times New Roman" w:hAnsi="Times New Roman"/>
          <w:b/>
          <w:color w:val="000000" w:themeColor="text1"/>
          <w:sz w:val="22"/>
          <w:szCs w:val="22"/>
        </w:rPr>
      </w:pPr>
      <w:r>
        <w:rPr>
          <w:rFonts w:ascii="Times New Roman" w:hAnsi="Times New Roman"/>
          <w:b/>
          <w:color w:val="000000" w:themeColor="text1"/>
          <w:sz w:val="22"/>
          <w:szCs w:val="22"/>
        </w:rPr>
      </w:r>
    </w:p>
    <w:p>
      <w:pPr>
        <w:pStyle w:val="Normal"/>
        <w:widowControl w:val="false"/>
        <w:jc w:val="center"/>
        <w:rPr>
          <w:highlight w:val="none"/>
          <w:shd w:fill="FFFF00" w:val="clear"/>
        </w:rPr>
      </w:pPr>
      <w:r>
        <w:rPr>
          <w:rFonts w:ascii="Times New Roman" w:hAnsi="Times New Roman"/>
          <w:b/>
          <w:sz w:val="22"/>
          <w:szCs w:val="22"/>
          <w:u w:val="single"/>
          <w:shd w:fill="FFFF00" w:val="clear"/>
        </w:rPr>
        <w:t>EVALUACIÓN</w:t>
      </w:r>
    </w:p>
    <w:p>
      <w:pPr>
        <w:pStyle w:val="Normal"/>
        <w:widowControl w:val="false"/>
        <w:jc w:val="center"/>
        <w:rPr>
          <w:rFonts w:ascii="Times New Roman" w:hAnsi="Times New Roman"/>
          <w:b/>
          <w:sz w:val="22"/>
          <w:szCs w:val="22"/>
          <w:u w:val="single"/>
        </w:rPr>
      </w:pPr>
      <w:r>
        <w:rPr>
          <w:rFonts w:ascii="Times New Roman" w:hAnsi="Times New Roman"/>
          <w:b/>
          <w:sz w:val="22"/>
          <w:szCs w:val="22"/>
          <w:u w:val="single"/>
        </w:rPr>
      </w:r>
    </w:p>
    <w:p>
      <w:pPr>
        <w:pStyle w:val="Normal"/>
        <w:widowControl w:val="false"/>
        <w:rPr>
          <w:rFonts w:ascii="Times New Roman" w:hAnsi="Times New Roman"/>
          <w:sz w:val="22"/>
          <w:szCs w:val="22"/>
        </w:rPr>
      </w:pPr>
      <w:r>
        <w:rPr>
          <w:rFonts w:ascii="Times New Roman" w:hAnsi="Times New Roman"/>
          <w:sz w:val="22"/>
          <w:szCs w:val="22"/>
        </w:rPr>
        <w:t xml:space="preserve">La evaluación se puede hacer, a criterio del profesor, presencial o virtual, individualmente o en grupo. Deberá ser objetiva, atendiendo al rendimiento efectivo del estudiante. </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Evaluación d</w:t>
      </w:r>
      <w:r>
        <w:rPr>
          <w:rFonts w:eastAsia="Times New Roman" w:ascii="Times New Roman" w:hAnsi="Times New Roman"/>
          <w:sz w:val="22"/>
          <w:szCs w:val="22"/>
          <w:lang w:val="es-ES"/>
        </w:rPr>
        <w:t>iagnóstico sobre el</w:t>
      </w:r>
      <w:r>
        <w:rPr>
          <w:rFonts w:ascii="Times New Roman" w:hAnsi="Times New Roman"/>
          <w:sz w:val="22"/>
          <w:szCs w:val="22"/>
        </w:rPr>
        <w:t xml:space="preserve"> proceso ordinario </w:t>
        <w:tab/>
        <w:t>5%</w:t>
      </w:r>
    </w:p>
    <w:p>
      <w:pPr>
        <w:pStyle w:val="Normal"/>
        <w:widowControl w:val="false"/>
        <w:rPr>
          <w:rFonts w:ascii="Times New Roman" w:hAnsi="Times New Roman"/>
          <w:sz w:val="22"/>
          <w:szCs w:val="22"/>
        </w:rPr>
      </w:pPr>
      <w:r>
        <w:rPr>
          <w:rFonts w:ascii="Times New Roman" w:hAnsi="Times New Roman"/>
          <w:sz w:val="22"/>
          <w:szCs w:val="22"/>
        </w:rPr>
        <w:t xml:space="preserve">Comprobación de lectura </w:t>
        <w:tab/>
        <w:tab/>
        <w:tab/>
        <w:tab/>
        <w:t>5%</w:t>
      </w:r>
    </w:p>
    <w:p>
      <w:pPr>
        <w:pStyle w:val="Normal"/>
        <w:widowControl w:val="false"/>
        <w:rPr/>
      </w:pPr>
      <w:r>
        <w:rPr>
          <w:rFonts w:ascii="Times New Roman" w:hAnsi="Times New Roman"/>
          <w:sz w:val="22"/>
          <w:szCs w:val="22"/>
        </w:rPr>
        <w:t>Confeccionar resoluciones / recursos</w:t>
        <w:tab/>
        <w:tab/>
        <w:tab/>
        <w:t>10%</w:t>
      </w:r>
    </w:p>
    <w:p>
      <w:pPr>
        <w:pStyle w:val="Normal"/>
        <w:widowControl w:val="false"/>
        <w:rPr>
          <w:rFonts w:ascii="Times New Roman" w:hAnsi="Times New Roman"/>
          <w:sz w:val="22"/>
          <w:szCs w:val="22"/>
        </w:rPr>
      </w:pPr>
      <w:r>
        <w:rPr>
          <w:rFonts w:ascii="Times New Roman" w:hAnsi="Times New Roman"/>
          <w:sz w:val="22"/>
          <w:szCs w:val="22"/>
        </w:rPr>
        <w:t xml:space="preserve">Elaborar casos y presentarlos en forma oral </w:t>
        <w:tab/>
        <w:tab/>
        <w:t>10%</w:t>
      </w:r>
    </w:p>
    <w:p>
      <w:pPr>
        <w:pStyle w:val="Normal"/>
        <w:widowControl w:val="false"/>
        <w:rPr>
          <w:rFonts w:ascii="Times New Roman" w:hAnsi="Times New Roman"/>
          <w:sz w:val="22"/>
          <w:szCs w:val="22"/>
        </w:rPr>
      </w:pPr>
      <w:r>
        <w:rPr>
          <w:rFonts w:ascii="Times New Roman" w:hAnsi="Times New Roman"/>
          <w:sz w:val="22"/>
          <w:szCs w:val="22"/>
        </w:rPr>
        <w:t xml:space="preserve">Participación en Mediación Virtual  </w:t>
        <w:tab/>
        <w:tab/>
        <w:tab/>
        <w:t>10%</w:t>
      </w:r>
    </w:p>
    <w:p>
      <w:pPr>
        <w:pStyle w:val="Normal"/>
        <w:widowControl w:val="false"/>
        <w:rPr>
          <w:rFonts w:ascii="Times New Roman" w:hAnsi="Times New Roman"/>
          <w:sz w:val="22"/>
          <w:szCs w:val="22"/>
        </w:rPr>
      </w:pPr>
      <w:r>
        <w:rPr>
          <w:rFonts w:ascii="Times New Roman" w:hAnsi="Times New Roman"/>
          <w:sz w:val="22"/>
          <w:szCs w:val="22"/>
        </w:rPr>
        <w:t xml:space="preserve">Hacer audiencias orales </w:t>
        <w:tab/>
        <w:tab/>
        <w:tab/>
        <w:tab/>
        <w:t>20%</w:t>
      </w:r>
    </w:p>
    <w:p>
      <w:pPr>
        <w:pStyle w:val="Normal"/>
        <w:widowControl w:val="false"/>
        <w:rPr>
          <w:rFonts w:ascii="Times New Roman" w:hAnsi="Times New Roman"/>
          <w:sz w:val="22"/>
          <w:szCs w:val="22"/>
        </w:rPr>
      </w:pPr>
      <w:r>
        <w:rPr>
          <w:rFonts w:ascii="Times New Roman" w:hAnsi="Times New Roman"/>
          <w:sz w:val="22"/>
          <w:szCs w:val="22"/>
        </w:rPr>
        <w:t xml:space="preserve">Examen parcial </w:t>
        <w:tab/>
        <w:tab/>
        <w:tab/>
        <w:tab/>
        <w:tab/>
        <w:t>20%</w:t>
      </w:r>
    </w:p>
    <w:p>
      <w:pPr>
        <w:pStyle w:val="Normal"/>
        <w:widowControl w:val="false"/>
        <w:rPr>
          <w:rFonts w:ascii="Times New Roman" w:hAnsi="Times New Roman"/>
          <w:sz w:val="22"/>
          <w:szCs w:val="22"/>
        </w:rPr>
      </w:pPr>
      <w:r>
        <w:rPr>
          <w:rFonts w:ascii="Times New Roman" w:hAnsi="Times New Roman"/>
          <w:sz w:val="22"/>
          <w:szCs w:val="22"/>
        </w:rPr>
        <w:t xml:space="preserve">Examen final </w:t>
        <w:tab/>
        <w:tab/>
        <w:tab/>
        <w:tab/>
        <w:tab/>
        <w:tab/>
        <w:t>20%</w:t>
      </w:r>
    </w:p>
    <w:p>
      <w:pPr>
        <w:pStyle w:val="Normal"/>
        <w:widowControl w:val="false"/>
        <w:rPr/>
      </w:pPr>
      <w:r>
        <w:rPr>
          <w:rFonts w:ascii="Times New Roman" w:hAnsi="Times New Roman"/>
          <w:sz w:val="22"/>
          <w:szCs w:val="22"/>
        </w:rPr>
        <w:t xml:space="preserve"> </w:t>
      </w:r>
    </w:p>
    <w:p>
      <w:pPr>
        <w:pStyle w:val="Normal"/>
        <w:widowControl w:val="false"/>
        <w:rPr>
          <w:rFonts w:ascii="Times New Roman" w:hAnsi="Times New Roman"/>
          <w:sz w:val="22"/>
          <w:szCs w:val="22"/>
        </w:rPr>
      </w:pPr>
      <w:r>
        <w:rPr>
          <w:rFonts w:ascii="Times New Roman" w:hAnsi="Times New Roman"/>
          <w:sz w:val="22"/>
          <w:szCs w:val="22"/>
        </w:rPr>
        <w:t>* cada estudiante deberá elaborar un caso sobre procesos monitorios, sumarios, etc.</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En la revisión de los exámenes se tomará en cuenta: la precisión conceptual, destreza en la argumentación, análisis de normas jurídicas, forma de resolver, redacción y ortografía.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profesor debe avisar por lo menos con cinco días de anticipación la fecha del examen, los temas a examinar, el lugar y la duración del mismo. La cátedra no autoriza a eximir a ningún estudiante. </w:t>
      </w:r>
    </w:p>
    <w:p>
      <w:pPr>
        <w:pStyle w:val="Normal"/>
        <w:widowControl w:val="false"/>
        <w:ind w:firstLine="708"/>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sz w:val="22"/>
          <w:szCs w:val="22"/>
        </w:rPr>
      </w:pPr>
      <w:r>
        <w:rPr>
          <w:rFonts w:ascii="Times New Roman" w:hAnsi="Times New Roman"/>
          <w:sz w:val="22"/>
          <w:szCs w:val="22"/>
        </w:rPr>
        <w:t xml:space="preserve">El trabajo en extraclase se podrá evaluar, previo aviso al inicio del curso, mediante la realización de pruebas cortas virtuales con o sin aviso previo específico y mediante la participación en la resolución grupal virtual de casos o análisis de lecturas o jurisprudencia. Las justificaciones por inasistencia a las clases virtuales deberán hacerse ante el profesor y en caso de que éste no acepte la justificación decidirá la oficina de Asuntos Estudiantiles. </w:t>
      </w:r>
    </w:p>
    <w:p>
      <w:pPr>
        <w:pStyle w:val="Normal"/>
        <w:widowControl w:val="false"/>
        <w:ind w:firstLine="708"/>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sz w:val="22"/>
          <w:szCs w:val="22"/>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NOTA: Aquel estudiante que no esté presente al realizarse las comprobaciones de lectura, el examen parcial, el examen final o las exposiciones en las fechas asignadas según el cronograma del curso, DEBERÁ presentar la solicitud de reposición respectiva justificando su ausencia, a la cual deberá adjuntar la documentación pertinente, de acuerdo con lo dispuesto en el Reglamento de Régimen Académico Estudiantil. Sólo en los casos debidamente justificados, dentro de los plazos establecidos, se procederá a reponer la actividad evaluativa que corresponda.</w:t>
      </w:r>
    </w:p>
    <w:p>
      <w:pPr>
        <w:pStyle w:val="Normal"/>
        <w:widowControl w:val="false"/>
        <w:rPr>
          <w:rFonts w:ascii="Times New Roman" w:hAnsi="Times New Roman"/>
          <w:sz w:val="22"/>
          <w:szCs w:val="22"/>
        </w:rPr>
      </w:pPr>
      <w:r>
        <w:rPr>
          <w:rFonts w:ascii="Times New Roman" w:hAnsi="Times New Roman"/>
          <w:sz w:val="22"/>
          <w:szCs w:val="22"/>
        </w:rPr>
      </w:r>
    </w:p>
    <w:p>
      <w:pPr>
        <w:pStyle w:val="Normal"/>
        <w:widowControl w:val="false"/>
        <w:rPr>
          <w:rFonts w:ascii="Times New Roman" w:hAnsi="Times New Roman"/>
        </w:rPr>
      </w:pPr>
      <w:r>
        <w:rPr>
          <w:rFonts w:ascii="Times New Roman" w:hAnsi="Times New Roman"/>
          <w:sz w:val="22"/>
          <w:szCs w:val="22"/>
        </w:rPr>
        <w:t>Cuando se asignen trabajos de investigación, estos se realizarán individualmente o en grupos pequeños. El tema será a elección del profesor, quien podrá pedir informes periódicos mientras dure la investigación. Al calificar la investigación se evaluará: claridad conceptual, integración de la experiencia (análisis de archivos o jurisprudencia), análisis de doctrina y legislación, claridad en la redacción y ortografía, orden de la exposición, conclusiones. Se debe valorar el aporte personal, la criticidad, calidad de las entrevistas, cantidad de visitas a audiencias orales, doctrina actualizada tanto nacional como extranjera, utilización de otras fuentes (Internet, derecho comparado, etcétera). Se recomienda un mínimo de quince páginas y un máximo de treinta.</w:t>
      </w:r>
    </w:p>
    <w:p>
      <w:pPr>
        <w:pStyle w:val="Normal"/>
        <w:rPr>
          <w:rFonts w:ascii="Times New Roman" w:hAnsi="Times New Roman"/>
          <w:sz w:val="22"/>
          <w:szCs w:val="22"/>
        </w:rPr>
      </w:pPr>
      <w:r>
        <w:rPr>
          <w:rFonts w:ascii="Times New Roman" w:hAnsi="Times New Roman"/>
          <w:sz w:val="22"/>
          <w:szCs w:val="22"/>
        </w:rPr>
      </w:r>
      <w:bookmarkStart w:id="5" w:name="_Toc359226960"/>
      <w:bookmarkStart w:id="6" w:name="_Toc359226960"/>
      <w:bookmarkEnd w:id="6"/>
    </w:p>
    <w:p>
      <w:pPr>
        <w:pStyle w:val="Encabezado3"/>
        <w:rPr>
          <w:rFonts w:ascii="Times New Roman" w:hAnsi="Times New Roman" w:cs="Times New Roman"/>
          <w:sz w:val="22"/>
          <w:szCs w:val="22"/>
          <w:lang w:val="es-ES"/>
        </w:rPr>
      </w:pPr>
      <w:bookmarkStart w:id="7" w:name="_Toc359226965"/>
      <w:bookmarkEnd w:id="7"/>
      <w:r>
        <w:rPr>
          <w:rFonts w:cs="Times New Roman"/>
          <w:sz w:val="22"/>
          <w:szCs w:val="22"/>
          <w:lang w:val="es-ES"/>
        </w:rPr>
        <w:t>cronograma por semanas</w:t>
      </w:r>
    </w:p>
    <w:p>
      <w:pPr>
        <w:pStyle w:val="Normal"/>
        <w:rPr>
          <w:rFonts w:ascii="Times New Roman" w:hAnsi="Times New Roman"/>
          <w:lang w:eastAsia="zh-CN"/>
        </w:rPr>
      </w:pPr>
      <w:r>
        <w:rPr>
          <w:rFonts w:ascii="Times New Roman" w:hAnsi="Times New Roman"/>
          <w:lang w:eastAsia="zh-CN"/>
        </w:rPr>
      </w:r>
    </w:p>
    <w:tbl>
      <w:tblPr>
        <w:tblStyle w:val="Tablaconcuadrcula"/>
        <w:tblW w:w="849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547"/>
        <w:gridCol w:w="5946"/>
      </w:tblGrid>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0</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de marzo</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Tema 1.  Medios de impugnación. Disposiciones Generales.</w:t>
            </w:r>
          </w:p>
          <w:p>
            <w:pPr>
              <w:pStyle w:val="Normal"/>
              <w:widowControl w:val="false"/>
              <w:suppressAutoHyphens w:val="true"/>
              <w:spacing w:before="0" w:after="0"/>
              <w:rPr>
                <w:rFonts w:ascii="Times New Roman" w:hAnsi="Times New Roman"/>
                <w:szCs w:val="20"/>
              </w:rPr>
            </w:pPr>
            <w:r>
              <w:rPr>
                <w:rFonts w:cs="Times New Roman" w:ascii="Times New Roman" w:hAnsi="Times New Roman"/>
                <w:kern w:val="0"/>
                <w:sz w:val="22"/>
                <w:szCs w:val="20"/>
                <w:lang w:val="es-ES_tradnl" w:eastAsia="es-ES" w:bidi="ar-SA"/>
              </w:rPr>
              <w:t>Tema 2. Repaso. Distinción entre procesos de conocimiento, procesos cautelares y procesos de ejecución.</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7</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 xml:space="preserve"> de marzo</w:t>
            </w:r>
          </w:p>
        </w:tc>
        <w:tc>
          <w:tcPr>
            <w:tcW w:w="5946" w:type="dxa"/>
            <w:tcBorders/>
            <w:shd w:color="auto" w:fill="auto" w:val="clear"/>
          </w:tcPr>
          <w:p>
            <w:pPr>
              <w:pStyle w:val="Normal"/>
              <w:widowControl w:val="false"/>
              <w:suppressAutoHyphens w:val="true"/>
              <w:spacing w:before="0" w:after="0"/>
              <w:rPr>
                <w:rFonts w:ascii="Times New Roman" w:hAnsi="Times New Roman"/>
                <w:szCs w:val="20"/>
              </w:rPr>
            </w:pPr>
            <w:r>
              <w:rPr>
                <w:rFonts w:ascii="Times New Roman" w:hAnsi="Times New Roman"/>
                <w:szCs w:val="20"/>
              </w:rPr>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val="es-ES_tradnl" w:eastAsia="es-ES" w:bidi="ar-SA"/>
              </w:rPr>
              <w:t>Tema 3.   Proceso cautelar.</w:t>
            </w:r>
          </w:p>
          <w:p>
            <w:pPr>
              <w:pStyle w:val="Normal"/>
              <w:widowControl w:val="false"/>
              <w:suppressAutoHyphens w:val="true"/>
              <w:spacing w:before="0" w:after="0"/>
              <w:rPr>
                <w:rFonts w:ascii="Times New Roman" w:hAnsi="Times New Roman"/>
                <w:szCs w:val="20"/>
                <w:lang w:val="es-ES_tradnl"/>
              </w:rPr>
            </w:pPr>
            <w:r>
              <w:rPr>
                <w:rFonts w:cs="Times New Roman" w:ascii="Times New Roman" w:hAnsi="Times New Roman"/>
                <w:kern w:val="0"/>
                <w:sz w:val="22"/>
                <w:szCs w:val="20"/>
                <w:lang w:val="es-ES_tradnl" w:eastAsia="es-ES" w:bidi="ar-SA"/>
              </w:rPr>
              <w:t>Tema 4.   Proceso ordinario.</w:t>
            </w:r>
          </w:p>
          <w:p>
            <w:pPr>
              <w:pStyle w:val="Normal"/>
              <w:widowControl w:val="false"/>
              <w:suppressAutoHyphens w:val="true"/>
              <w:spacing w:before="0" w:after="0"/>
              <w:rPr>
                <w:rFonts w:ascii="Times New Roman" w:hAnsi="Times New Roman"/>
                <w:szCs w:val="20"/>
              </w:rPr>
            </w:pPr>
            <w:r>
              <w:rPr>
                <w:rFonts w:ascii="Times New Roman" w:hAnsi="Times New Roman"/>
                <w:szCs w:val="20"/>
              </w:rPr>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8</w:t>
            </w:r>
            <w:r>
              <w:rPr>
                <w:rFonts w:cs="Times New Roman" w:ascii="Times New Roman" w:hAnsi="Times New Roman"/>
                <w:kern w:val="0"/>
                <w:sz w:val="22"/>
                <w:szCs w:val="20"/>
                <w:lang w:eastAsia="zh-CN" w:bidi="ar-SA"/>
              </w:rPr>
              <w:t xml:space="preserve"> de marzo</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bCs/>
                <w:kern w:val="0"/>
                <w:sz w:val="22"/>
                <w:szCs w:val="20"/>
                <w:lang w:val="es-ES_tradnl" w:eastAsia="zh-CN" w:bidi="ar-SA"/>
              </w:rPr>
              <w:t>Tema 6  Sumarios y 7. Proceso sumario de desahucio</w:t>
            </w:r>
          </w:p>
          <w:p>
            <w:pPr>
              <w:pStyle w:val="Normal"/>
              <w:widowControl w:val="false"/>
              <w:suppressAutoHyphens w:val="true"/>
              <w:spacing w:before="0" w:after="0"/>
              <w:rPr>
                <w:rFonts w:ascii="Times New Roman" w:hAnsi="Times New Roman"/>
                <w:szCs w:val="20"/>
                <w:lang w:val="es-ES_tradnl"/>
              </w:rPr>
            </w:pPr>
            <w:r>
              <w:rPr>
                <w:rFonts w:ascii="Times New Roman" w:hAnsi="Times New Roman"/>
                <w:szCs w:val="20"/>
                <w:lang w:val="es-ES_tradnl"/>
              </w:rPr>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31 marzo</w:t>
            </w:r>
            <w:r>
              <w:rPr>
                <w:rFonts w:cs="Times New Roman" w:ascii="Times New Roman" w:hAnsi="Times New Roman"/>
                <w:kern w:val="0"/>
                <w:sz w:val="22"/>
                <w:szCs w:val="20"/>
                <w:lang w:eastAsia="zh-CN" w:bidi="ar-SA"/>
              </w:rPr>
              <w:t xml:space="preserve"> al </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bCs/>
                <w:kern w:val="0"/>
                <w:sz w:val="22"/>
                <w:szCs w:val="20"/>
                <w:lang w:val="es-ES_tradnl" w:eastAsia="zh-CN" w:bidi="ar-SA"/>
              </w:rPr>
              <w:t>Tema 5. Proceso incidental.</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7</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8.   Reajuste del precio del arrendamiento.</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9.   Interdictos posesorios.</w:t>
            </w:r>
          </w:p>
          <w:p>
            <w:pPr>
              <w:pStyle w:val="Normal"/>
              <w:widowControl w:val="false"/>
              <w:suppressAutoHyphens w:val="true"/>
              <w:spacing w:before="0" w:after="0"/>
              <w:rPr>
                <w:rFonts w:ascii="Times New Roman" w:hAnsi="Times New Roman"/>
                <w:szCs w:val="20"/>
              </w:rPr>
            </w:pPr>
            <w:r>
              <w:rPr/>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8</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highlight w:val="none"/>
                <w:shd w:fill="FFFF00" w:val="clear"/>
              </w:rPr>
            </w:pPr>
            <w:r>
              <w:rPr>
                <w:rFonts w:cs="Times New Roman" w:ascii="Times New Roman" w:hAnsi="Times New Roman"/>
                <w:bCs/>
                <w:kern w:val="0"/>
                <w:sz w:val="22"/>
                <w:szCs w:val="20"/>
                <w:shd w:fill="FFFF00" w:val="clear"/>
                <w:lang w:val="es-ES_tradnl" w:eastAsia="es-ES" w:bidi="ar-SA"/>
              </w:rPr>
              <w:t>Semana Santa</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5</w:t>
            </w:r>
            <w:r>
              <w:rPr>
                <w:rFonts w:cs="Times New Roman" w:ascii="Times New Roman" w:hAnsi="Times New Roman"/>
                <w:kern w:val="0"/>
                <w:sz w:val="22"/>
                <w:szCs w:val="20"/>
                <w:lang w:eastAsia="zh-CN" w:bidi="ar-SA"/>
              </w:rPr>
              <w:t xml:space="preserve"> de abril</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Semana Universitaria</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10. Sumario de suspensión de obra nueva.</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bCs/>
                <w:kern w:val="0"/>
                <w:sz w:val="22"/>
                <w:szCs w:val="20"/>
                <w:lang w:val="es-ES_tradnl" w:eastAsia="es-ES" w:bidi="ar-SA"/>
              </w:rPr>
              <w:t>Tema 11. Sumario de derribo.</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12. Sumario de jactancia.</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es-ES" w:bidi="ar-SA"/>
              </w:rPr>
              <w:t>Tema 13. Otros procesos sumarios.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8</w:t>
            </w:r>
            <w:r>
              <w:rPr>
                <w:rFonts w:cs="Times New Roman" w:ascii="Times New Roman" w:hAnsi="Times New Roman"/>
                <w:kern w:val="0"/>
                <w:sz w:val="22"/>
                <w:szCs w:val="20"/>
                <w:lang w:eastAsia="zh-CN" w:bidi="ar-SA"/>
              </w:rPr>
              <w:t xml:space="preserve"> abril al </w:t>
            </w: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 xml:space="preserve"> de mayo</w:t>
            </w:r>
          </w:p>
          <w:p>
            <w:pPr>
              <w:pStyle w:val="Normal"/>
              <w:widowControl w:val="false"/>
              <w:suppressAutoHyphens w:val="true"/>
              <w:spacing w:before="0" w:after="0"/>
              <w:rPr>
                <w:highlight w:val="none"/>
                <w:shd w:fill="FFFF00" w:val="clear"/>
              </w:rPr>
            </w:pPr>
            <w:r>
              <w:rPr>
                <w:rFonts w:cs="Times New Roman" w:ascii="Times New Roman" w:hAnsi="Times New Roman"/>
                <w:kern w:val="0"/>
                <w:sz w:val="22"/>
                <w:szCs w:val="20"/>
                <w:shd w:fill="FFFF00" w:val="clear"/>
                <w:lang w:eastAsia="zh-CN" w:bidi="ar-SA"/>
              </w:rPr>
              <w:t>(</w:t>
            </w:r>
            <w:r>
              <w:rPr>
                <w:rFonts w:cs="Times New Roman" w:ascii="Times New Roman" w:hAnsi="Times New Roman"/>
                <w:kern w:val="0"/>
                <w:sz w:val="22"/>
                <w:szCs w:val="20"/>
                <w:shd w:fill="FFFF00" w:val="clear"/>
                <w:lang w:eastAsia="zh-CN" w:bidi="ar-SA"/>
              </w:rPr>
              <w:t>lunes1ºde mayo: feriado)</w:t>
            </w:r>
          </w:p>
          <w:p>
            <w:pPr>
              <w:pStyle w:val="Normal"/>
              <w:widowControl w:val="false"/>
              <w:suppressAutoHyphens w:val="true"/>
              <w:spacing w:before="0" w:after="0"/>
              <w:rPr>
                <w:rFonts w:ascii="Times New Roman" w:hAnsi="Times New Roman"/>
                <w:szCs w:val="20"/>
                <w:lang w:eastAsia="zh-CN"/>
              </w:rPr>
            </w:pPr>
            <w:r>
              <w:rPr>
                <w:rFonts w:ascii="Times New Roman" w:hAnsi="Times New Roman"/>
                <w:szCs w:val="20"/>
                <w:lang w:eastAsia="zh-CN"/>
              </w:rPr>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val="es-ES_tradnl" w:eastAsia="zh-CN" w:bidi="ar-SA"/>
              </w:rPr>
              <w:t xml:space="preserve"> </w:t>
            </w:r>
            <w:r>
              <w:rPr>
                <w:rFonts w:cs="Times New Roman" w:ascii="Times New Roman" w:hAnsi="Times New Roman"/>
                <w:b/>
                <w:bCs/>
                <w:kern w:val="0"/>
                <w:sz w:val="22"/>
                <w:szCs w:val="20"/>
                <w:lang w:val="es-ES_tradnl" w:eastAsia="es-ES" w:bidi="ar-SA"/>
              </w:rPr>
              <w:t>Prueba diagnóstico</w:t>
            </w:r>
            <w:r>
              <w:rPr>
                <w:rFonts w:cs="Times New Roman" w:ascii="Times New Roman" w:hAnsi="Times New Roman"/>
                <w:bCs/>
                <w:kern w:val="0"/>
                <w:sz w:val="22"/>
                <w:szCs w:val="20"/>
                <w:lang w:val="es-ES_tradnl" w:eastAsia="es-ES" w:bidi="ar-SA"/>
              </w:rPr>
              <w:t xml:space="preserve"> sobre proceso ordinario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 xml:space="preserve">5 </w:t>
            </w:r>
            <w:r>
              <w:rPr>
                <w:rFonts w:cs="Times New Roman" w:ascii="Times New Roman" w:hAnsi="Times New Roman"/>
                <w:kern w:val="0"/>
                <w:sz w:val="22"/>
                <w:szCs w:val="20"/>
                <w:lang w:eastAsia="zh-CN" w:bidi="ar-SA"/>
              </w:rPr>
              <w:t xml:space="preserve">a </w:t>
            </w:r>
            <w:r>
              <w:rPr>
                <w:rFonts w:cs="Times New Roman" w:ascii="Times New Roman" w:hAnsi="Times New Roman"/>
                <w:kern w:val="0"/>
                <w:sz w:val="22"/>
                <w:szCs w:val="20"/>
                <w:lang w:eastAsia="zh-CN" w:bidi="ar-SA"/>
              </w:rPr>
              <w:t>9</w:t>
            </w:r>
            <w:r>
              <w:rPr>
                <w:rFonts w:cs="Times New Roman" w:ascii="Times New Roman" w:hAnsi="Times New Roman"/>
                <w:kern w:val="0"/>
                <w:sz w:val="22"/>
                <w:szCs w:val="20"/>
                <w:lang w:eastAsia="zh-CN" w:bidi="ar-SA"/>
              </w:rPr>
              <w:t xml:space="preserve"> de mayo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val="es-ES_tradnl" w:eastAsia="es-ES" w:bidi="ar-SA"/>
              </w:rPr>
              <w:t>Tema 14. Proceso Monitorio.</w:t>
            </w:r>
          </w:p>
          <w:p>
            <w:pPr>
              <w:pStyle w:val="Normal"/>
              <w:widowControl w:val="false"/>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val="es-ES_tradnl" w:eastAsia="es-ES" w:bidi="ar-SA"/>
              </w:rPr>
              <w:t>Tema 15. Proceso Monitorio dinerario.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 xml:space="preserve"> a 1</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de mayo</w:t>
            </w:r>
          </w:p>
        </w:tc>
        <w:tc>
          <w:tcPr>
            <w:tcW w:w="5946"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bCs/>
                <w:kern w:val="0"/>
                <w:sz w:val="22"/>
                <w:szCs w:val="20"/>
                <w:lang w:val="es-CR" w:eastAsia="zh-CN" w:bidi="ar-SA"/>
              </w:rPr>
              <w:t>Tema 16. Monitorio Arrendaticio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 xml:space="preserve"> </w:t>
            </w:r>
            <w:r>
              <w:rPr>
                <w:rFonts w:cs="Times New Roman" w:ascii="Times New Roman" w:hAnsi="Times New Roman"/>
                <w:kern w:val="0"/>
                <w:sz w:val="22"/>
                <w:szCs w:val="20"/>
                <w:lang w:eastAsia="zh-CN" w:bidi="ar-SA"/>
              </w:rPr>
              <w:t xml:space="preserve">19 </w:t>
            </w:r>
            <w:r>
              <w:rPr>
                <w:rFonts w:cs="Times New Roman" w:ascii="Times New Roman" w:hAnsi="Times New Roman"/>
                <w:kern w:val="0"/>
                <w:sz w:val="22"/>
                <w:szCs w:val="20"/>
                <w:lang w:eastAsia="zh-CN" w:bidi="ar-SA"/>
              </w:rPr>
              <w:t>a 2</w:t>
            </w: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 de mayo</w:t>
            </w:r>
          </w:p>
          <w:p>
            <w:pPr>
              <w:pStyle w:val="Normal"/>
              <w:widowControl w:val="false"/>
              <w:suppressAutoHyphens w:val="true"/>
              <w:spacing w:before="0" w:after="0"/>
              <w:rPr>
                <w:rFonts w:ascii="Times New Roman" w:hAnsi="Times New Roman"/>
                <w:bCs/>
                <w:szCs w:val="20"/>
                <w:lang w:val="es-CR" w:eastAsia="zh-CN"/>
              </w:rPr>
            </w:pPr>
            <w:r>
              <w:rPr>
                <w:rFonts w:ascii="Times New Roman" w:hAnsi="Times New Roman"/>
                <w:bCs/>
                <w:szCs w:val="20"/>
                <w:lang w:val="es-CR" w:eastAsia="zh-CN"/>
              </w:rPr>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CR" w:eastAsia="zh-CN"/>
              </w:rPr>
            </w:pPr>
            <w:r>
              <w:rPr>
                <w:rFonts w:cs="Times New Roman" w:ascii="Times New Roman" w:hAnsi="Times New Roman"/>
                <w:bCs/>
                <w:kern w:val="0"/>
                <w:sz w:val="22"/>
                <w:szCs w:val="20"/>
                <w:lang w:val="es-CR" w:eastAsia="zh-CN" w:bidi="ar-SA"/>
              </w:rPr>
              <w:t>Tema 17. Proceso de Ejecución</w:t>
            </w:r>
          </w:p>
          <w:p>
            <w:pPr>
              <w:pStyle w:val="Normal"/>
              <w:widowControl w:val="false"/>
              <w:suppressAutoHyphens w:val="true"/>
              <w:spacing w:before="0" w:after="0"/>
              <w:rPr>
                <w:rFonts w:ascii="Times New Roman" w:hAnsi="Times New Roman"/>
                <w:bCs/>
                <w:szCs w:val="20"/>
                <w:lang w:val="es-CR" w:eastAsia="zh-CN"/>
              </w:rPr>
            </w:pPr>
            <w:r>
              <w:rPr>
                <w:rFonts w:cs="Times New Roman" w:ascii="Times New Roman" w:hAnsi="Times New Roman"/>
                <w:bCs/>
                <w:kern w:val="0"/>
                <w:sz w:val="22"/>
                <w:szCs w:val="20"/>
                <w:lang w:val="es-CR" w:eastAsia="zh-CN" w:bidi="ar-SA"/>
              </w:rPr>
              <w:t>Tema 18. Ejecución Provisional</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26</w:t>
            </w:r>
            <w:r>
              <w:rPr>
                <w:rFonts w:cs="Times New Roman" w:ascii="Times New Roman" w:hAnsi="Times New Roman"/>
                <w:kern w:val="0"/>
                <w:sz w:val="22"/>
                <w:szCs w:val="20"/>
                <w:lang w:eastAsia="zh-CN" w:bidi="ar-SA"/>
              </w:rPr>
              <w:t xml:space="preserve"> </w:t>
            </w:r>
            <w:r>
              <w:rPr>
                <w:rFonts w:cs="Times New Roman" w:ascii="Times New Roman" w:hAnsi="Times New Roman"/>
                <w:kern w:val="0"/>
                <w:sz w:val="22"/>
                <w:szCs w:val="20"/>
                <w:lang w:eastAsia="zh-CN" w:bidi="ar-SA"/>
              </w:rPr>
              <w:t xml:space="preserve">mayo </w:t>
            </w:r>
            <w:r>
              <w:rPr>
                <w:rFonts w:cs="Times New Roman" w:ascii="Times New Roman" w:hAnsi="Times New Roman"/>
                <w:kern w:val="0"/>
                <w:sz w:val="22"/>
                <w:szCs w:val="20"/>
                <w:lang w:eastAsia="zh-CN" w:bidi="ar-SA"/>
              </w:rPr>
              <w:t>al 3</w:t>
            </w:r>
            <w:r>
              <w:rPr>
                <w:rFonts w:cs="Times New Roman" w:ascii="Times New Roman" w:hAnsi="Times New Roman"/>
                <w:kern w:val="0"/>
                <w:sz w:val="22"/>
                <w:szCs w:val="20"/>
                <w:lang w:eastAsia="zh-CN" w:bidi="ar-SA"/>
              </w:rPr>
              <w:t>0</w:t>
            </w:r>
            <w:r>
              <w:rPr>
                <w:rFonts w:cs="Times New Roman" w:ascii="Times New Roman" w:hAnsi="Times New Roman"/>
                <w:kern w:val="0"/>
                <w:sz w:val="22"/>
                <w:szCs w:val="20"/>
                <w:lang w:eastAsia="zh-CN" w:bidi="ar-SA"/>
              </w:rPr>
              <w:t xml:space="preserve"> de mayo</w:t>
            </w:r>
          </w:p>
        </w:tc>
        <w:tc>
          <w:tcPr>
            <w:tcW w:w="5946" w:type="dxa"/>
            <w:tcBorders/>
            <w:shd w:color="auto" w:fill="auto" w:val="clear"/>
          </w:tcPr>
          <w:p>
            <w:pPr>
              <w:pStyle w:val="Normal"/>
              <w:widowControl w:val="false"/>
              <w:suppressAutoHyphens w:val="true"/>
              <w:spacing w:before="0" w:after="0"/>
              <w:rPr>
                <w:b/>
                <w:bCs/>
              </w:rPr>
            </w:pPr>
            <w:r>
              <w:rPr>
                <w:rFonts w:cs="Times New Roman" w:ascii="Times New Roman" w:hAnsi="Times New Roman"/>
                <w:b/>
                <w:bCs/>
                <w:kern w:val="0"/>
                <w:sz w:val="22"/>
                <w:szCs w:val="20"/>
                <w:lang w:val="es-CR" w:eastAsia="zh-CN" w:bidi="ar-SA"/>
              </w:rPr>
              <w:t>Examen parcial</w:t>
            </w:r>
          </w:p>
          <w:p>
            <w:pPr>
              <w:pStyle w:val="Normal"/>
              <w:widowControl w:val="false"/>
              <w:tabs>
                <w:tab w:val="clear" w:pos="708"/>
                <w:tab w:val="left" w:pos="-720" w:leader="none"/>
              </w:tabs>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val="es-ES_tradnl" w:eastAsia="es-ES" w:bidi="ar-SA"/>
              </w:rPr>
              <w:t>Tema 19.  Procedimientos de Ejecución</w:t>
            </w:r>
          </w:p>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eastAsia="es-ES" w:bidi="ar-SA"/>
              </w:rPr>
              <w:t>Tema 20. Ejecución por suma líquida</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 xml:space="preserve"> al </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de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2"/>
                <w:lang w:val="es-ES_tradnl"/>
              </w:rPr>
            </w:pPr>
            <w:r>
              <w:rPr>
                <w:rFonts w:cs="Times New Roman" w:ascii="Times New Roman" w:hAnsi="Times New Roman"/>
                <w:bCs/>
                <w:kern w:val="0"/>
                <w:sz w:val="22"/>
                <w:szCs w:val="22"/>
                <w:lang w:val="es-ES_tradnl" w:eastAsia="es-ES" w:bidi="ar-SA"/>
              </w:rPr>
              <w:t>Tema 21. Realización de bienes</w:t>
            </w:r>
          </w:p>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Tema 22.  Ejecución hipotecaria y prendaria</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9</w:t>
            </w:r>
            <w:r>
              <w:rPr>
                <w:rFonts w:cs="Times New Roman" w:ascii="Times New Roman" w:hAnsi="Times New Roman"/>
                <w:kern w:val="0"/>
                <w:sz w:val="22"/>
                <w:szCs w:val="20"/>
                <w:lang w:eastAsia="zh-CN" w:bidi="ar-SA"/>
              </w:rPr>
              <w:t xml:space="preserve"> al 1</w:t>
            </w: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 de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eastAsia="es-ES" w:bidi="ar-SA"/>
              </w:rPr>
              <w:t>Tema 23.  Tercerías</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1</w:t>
            </w:r>
            <w:r>
              <w:rPr>
                <w:rFonts w:cs="Times New Roman" w:ascii="Times New Roman" w:hAnsi="Times New Roman"/>
                <w:kern w:val="0"/>
                <w:sz w:val="22"/>
                <w:szCs w:val="20"/>
                <w:lang w:eastAsia="zh-CN" w:bidi="ar-SA"/>
              </w:rPr>
              <w:t>6</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0</w:t>
            </w:r>
            <w:r>
              <w:rPr>
                <w:rFonts w:cs="Times New Roman" w:ascii="Times New Roman" w:hAnsi="Times New Roman"/>
                <w:kern w:val="0"/>
                <w:sz w:val="22"/>
                <w:szCs w:val="20"/>
                <w:lang w:eastAsia="zh-CN" w:bidi="ar-SA"/>
              </w:rPr>
              <w:t xml:space="preserve"> de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rPr>
            </w:pPr>
            <w:r>
              <w:rPr>
                <w:rFonts w:cs="Times New Roman" w:ascii="Times New Roman" w:hAnsi="Times New Roman"/>
                <w:bCs/>
                <w:kern w:val="0"/>
                <w:sz w:val="22"/>
                <w:szCs w:val="20"/>
                <w:lang w:eastAsia="es-ES" w:bidi="ar-SA"/>
              </w:rPr>
              <w:t>Tema 24.   Generalidades sobre derecho procesal concursal</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2</w:t>
            </w:r>
            <w:r>
              <w:rPr>
                <w:rFonts w:cs="Times New Roman" w:ascii="Times New Roman" w:hAnsi="Times New Roman"/>
                <w:kern w:val="0"/>
                <w:sz w:val="22"/>
                <w:szCs w:val="20"/>
                <w:lang w:eastAsia="zh-CN" w:bidi="ar-SA"/>
              </w:rPr>
              <w:t>3</w:t>
            </w:r>
            <w:r>
              <w:rPr>
                <w:rFonts w:cs="Times New Roman" w:ascii="Times New Roman" w:hAnsi="Times New Roman"/>
                <w:kern w:val="0"/>
                <w:sz w:val="22"/>
                <w:szCs w:val="20"/>
                <w:lang w:eastAsia="zh-CN" w:bidi="ar-SA"/>
              </w:rPr>
              <w:t xml:space="preserve"> al 2</w:t>
            </w:r>
            <w:r>
              <w:rPr>
                <w:rFonts w:cs="Times New Roman" w:ascii="Times New Roman" w:hAnsi="Times New Roman"/>
                <w:kern w:val="0"/>
                <w:sz w:val="22"/>
                <w:szCs w:val="20"/>
                <w:lang w:eastAsia="zh-CN" w:bidi="ar-SA"/>
              </w:rPr>
              <w:t>7</w:t>
            </w:r>
            <w:r>
              <w:rPr>
                <w:rFonts w:cs="Times New Roman" w:ascii="Times New Roman" w:hAnsi="Times New Roman"/>
                <w:kern w:val="0"/>
                <w:sz w:val="22"/>
                <w:szCs w:val="20"/>
                <w:lang w:eastAsia="zh-CN" w:bidi="ar-SA"/>
              </w:rPr>
              <w:t xml:space="preserve"> junio</w:t>
            </w:r>
          </w:p>
        </w:tc>
        <w:tc>
          <w:tcPr>
            <w:tcW w:w="5946" w:type="dxa"/>
            <w:tcBorders/>
            <w:shd w:color="auto" w:fill="auto" w:val="clear"/>
          </w:tcPr>
          <w:p>
            <w:pPr>
              <w:pStyle w:val="Normal"/>
              <w:widowControl w:val="false"/>
              <w:suppressAutoHyphens w:val="true"/>
              <w:spacing w:before="0" w:after="0"/>
              <w:rPr>
                <w:rFonts w:ascii="Times New Roman" w:hAnsi="Times New Roman"/>
                <w:bCs/>
                <w:szCs w:val="22"/>
                <w:lang w:val="es-ES_tradnl"/>
              </w:rPr>
            </w:pPr>
            <w:r>
              <w:rPr>
                <w:rFonts w:cs="Times New Roman" w:ascii="Times New Roman" w:hAnsi="Times New Roman"/>
                <w:bCs/>
                <w:kern w:val="0"/>
                <w:sz w:val="22"/>
                <w:szCs w:val="20"/>
                <w:lang w:eastAsia="es-ES" w:bidi="ar-SA"/>
              </w:rPr>
              <w:t>Tema 25.   Proceso no contencioso</w:t>
            </w:r>
          </w:p>
        </w:tc>
      </w:tr>
      <w:tr>
        <w:trPr/>
        <w:tc>
          <w:tcPr>
            <w:tcW w:w="2547" w:type="dxa"/>
            <w:tcBorders/>
            <w:shd w:color="auto" w:fill="auto" w:val="clear"/>
          </w:tcPr>
          <w:p>
            <w:pPr>
              <w:pStyle w:val="Normal"/>
              <w:widowControl w:val="false"/>
              <w:suppressAutoHyphens w:val="true"/>
              <w:spacing w:before="0" w:after="0"/>
              <w:rPr>
                <w:rFonts w:ascii="Times New Roman" w:hAnsi="Times New Roman"/>
                <w:szCs w:val="20"/>
                <w:lang w:eastAsia="zh-CN"/>
              </w:rPr>
            </w:pPr>
            <w:r>
              <w:rPr>
                <w:rFonts w:cs="Times New Roman" w:ascii="Times New Roman" w:hAnsi="Times New Roman"/>
                <w:kern w:val="0"/>
                <w:sz w:val="22"/>
                <w:szCs w:val="20"/>
                <w:lang w:eastAsia="zh-CN" w:bidi="ar-SA"/>
              </w:rPr>
              <w:t xml:space="preserve">30 junio a </w:t>
            </w:r>
            <w:r>
              <w:rPr>
                <w:rFonts w:cs="Times New Roman" w:ascii="Times New Roman" w:hAnsi="Times New Roman"/>
                <w:kern w:val="0"/>
                <w:sz w:val="22"/>
                <w:szCs w:val="20"/>
                <w:lang w:eastAsia="zh-CN" w:bidi="ar-SA"/>
              </w:rPr>
              <w:t>4</w:t>
            </w:r>
            <w:r>
              <w:rPr>
                <w:rFonts w:cs="Times New Roman" w:ascii="Times New Roman" w:hAnsi="Times New Roman"/>
                <w:kern w:val="0"/>
                <w:sz w:val="22"/>
                <w:szCs w:val="20"/>
                <w:lang w:eastAsia="zh-CN" w:bidi="ar-SA"/>
              </w:rPr>
              <w:t xml:space="preserve"> de julio</w:t>
            </w:r>
          </w:p>
        </w:tc>
        <w:tc>
          <w:tcPr>
            <w:tcW w:w="5946" w:type="dxa"/>
            <w:tcBorders/>
            <w:shd w:color="auto" w:fill="auto" w:val="clear"/>
          </w:tcPr>
          <w:p>
            <w:pPr>
              <w:pStyle w:val="Normal"/>
              <w:widowControl w:val="false"/>
              <w:suppressAutoHyphens w:val="true"/>
              <w:spacing w:before="0" w:after="0"/>
              <w:rPr>
                <w:rFonts w:ascii="Times New Roman" w:hAnsi="Times New Roman"/>
                <w:bCs/>
                <w:szCs w:val="20"/>
                <w:lang w:val="es-ES_tradnl"/>
              </w:rPr>
            </w:pPr>
            <w:r>
              <w:rPr>
                <w:rFonts w:cs="Times New Roman" w:ascii="Times New Roman" w:hAnsi="Times New Roman"/>
                <w:bCs/>
                <w:kern w:val="0"/>
                <w:sz w:val="22"/>
                <w:szCs w:val="20"/>
                <w:lang w:eastAsia="es-ES" w:bidi="ar-SA"/>
              </w:rPr>
              <w:t>Tema 26.   Proceso Arbitral</w:t>
            </w:r>
          </w:p>
        </w:tc>
      </w:tr>
      <w:tr>
        <w:trPr/>
        <w:tc>
          <w:tcPr>
            <w:tcW w:w="2547" w:type="dxa"/>
            <w:tcBorders/>
            <w:shd w:color="auto" w:fill="auto" w:val="clear"/>
          </w:tcPr>
          <w:p>
            <w:pPr>
              <w:pStyle w:val="Normal"/>
              <w:widowControl w:val="false"/>
              <w:suppressAutoHyphens w:val="true"/>
              <w:spacing w:before="0" w:after="0"/>
              <w:rPr>
                <w:highlight w:val="none"/>
                <w:shd w:fill="FFFF00" w:val="clear"/>
              </w:rPr>
            </w:pPr>
            <w:r>
              <w:rPr>
                <w:rFonts w:cs="Times New Roman" w:ascii="Times New Roman" w:hAnsi="Times New Roman"/>
                <w:kern w:val="0"/>
                <w:sz w:val="22"/>
                <w:szCs w:val="20"/>
                <w:shd w:fill="FFFF00" w:val="clear"/>
                <w:lang w:eastAsia="zh-CN" w:bidi="ar-SA"/>
              </w:rPr>
              <w:t>Lunes 7 de julio</w:t>
            </w:r>
          </w:p>
        </w:tc>
        <w:tc>
          <w:tcPr>
            <w:tcW w:w="5946" w:type="dxa"/>
            <w:tcBorders/>
            <w:shd w:color="auto" w:fill="auto" w:val="clear"/>
          </w:tcPr>
          <w:p>
            <w:pPr>
              <w:pStyle w:val="Normal"/>
              <w:widowControl w:val="false"/>
              <w:suppressAutoHyphens w:val="true"/>
              <w:spacing w:before="0" w:after="0"/>
              <w:jc w:val="left"/>
              <w:rPr>
                <w:b/>
                <w:bCs/>
              </w:rPr>
            </w:pPr>
            <w:r>
              <w:rPr>
                <w:rFonts w:cs="Times New Roman" w:ascii="Times New Roman" w:hAnsi="Times New Roman"/>
                <w:b/>
                <w:bCs/>
                <w:kern w:val="0"/>
                <w:sz w:val="22"/>
                <w:szCs w:val="20"/>
                <w:lang w:val="es-ES_tradnl" w:eastAsia="zh-CN" w:bidi="ar-SA"/>
              </w:rPr>
              <w:t>Examen Final</w:t>
            </w:r>
          </w:p>
        </w:tc>
      </w:tr>
    </w:tbl>
    <w:p>
      <w:pPr>
        <w:pStyle w:val="Encabezado3"/>
        <w:ind w:left="0" w:right="652" w:hanging="0"/>
        <w:jc w:val="both"/>
        <w:rPr>
          <w:rFonts w:ascii="Times New Roman" w:hAnsi="Times New Roman" w:cs="Times New Roman"/>
          <w:sz w:val="22"/>
          <w:szCs w:val="22"/>
          <w:lang w:val="es-ES"/>
        </w:rPr>
      </w:pPr>
      <w:r>
        <w:rPr>
          <w:rFonts w:cs="Times New Roman"/>
          <w:sz w:val="22"/>
          <w:szCs w:val="22"/>
          <w:lang w:val="es-ES"/>
        </w:rPr>
      </w:r>
    </w:p>
    <w:p>
      <w:pPr>
        <w:pStyle w:val="Encabezado3"/>
        <w:rPr>
          <w:rFonts w:ascii="Times New Roman" w:hAnsi="Times New Roman" w:cs="Times New Roman"/>
          <w:sz w:val="22"/>
          <w:szCs w:val="22"/>
        </w:rPr>
      </w:pPr>
      <w:bookmarkStart w:id="8" w:name="_Toc504642940"/>
      <w:r>
        <w:rPr>
          <w:rFonts w:cs="Times New Roman"/>
          <w:sz w:val="22"/>
          <w:szCs w:val="22"/>
          <w:lang w:val="es-ES"/>
        </w:rPr>
        <w:t xml:space="preserve">Bibliografía </w:t>
      </w:r>
      <w:bookmarkEnd w:id="8"/>
      <w:r>
        <w:rPr>
          <w:rFonts w:cs="Times New Roman"/>
          <w:sz w:val="22"/>
          <w:szCs w:val="22"/>
          <w:lang w:val="es-ES"/>
        </w:rPr>
        <w:t>Obligatoria:</w:t>
      </w:r>
    </w:p>
    <w:p>
      <w:pPr>
        <w:pStyle w:val="Normal"/>
        <w:rPr>
          <w:rFonts w:ascii="Times New Roman" w:hAnsi="Times New Roman"/>
          <w:sz w:val="22"/>
          <w:szCs w:val="22"/>
          <w:lang w:val="es-MX"/>
        </w:rPr>
      </w:pPr>
      <w:r>
        <w:rPr>
          <w:rFonts w:ascii="Times New Roman" w:hAnsi="Times New Roman"/>
          <w:sz w:val="22"/>
          <w:szCs w:val="22"/>
          <w:lang w:val="es-MX"/>
        </w:rPr>
      </w:r>
    </w:p>
    <w:p>
      <w:pPr>
        <w:pStyle w:val="Normal"/>
        <w:widowControl w:val="false"/>
        <w:numPr>
          <w:ilvl w:val="0"/>
          <w:numId w:val="5"/>
        </w:numPr>
        <w:rPr>
          <w:rFonts w:ascii="Times New Roman" w:hAnsi="Times New Roman"/>
          <w:sz w:val="22"/>
          <w:szCs w:val="22"/>
        </w:rPr>
      </w:pPr>
      <w:bookmarkStart w:id="9" w:name="_Toc504642940_Copia_2"/>
      <w:r>
        <w:rPr>
          <w:rFonts w:cs="Times New Roman" w:ascii="Times New Roman" w:hAnsi="Times New Roman"/>
          <w:sz w:val="22"/>
          <w:szCs w:val="22"/>
          <w:lang w:val="es-ES"/>
        </w:rPr>
        <w:t xml:space="preserve">Bibliografía </w:t>
      </w:r>
      <w:bookmarkEnd w:id="9"/>
      <w:r>
        <w:rPr>
          <w:rFonts w:cs="Times New Roman" w:ascii="Times New Roman" w:hAnsi="Times New Roman"/>
          <w:sz w:val="22"/>
          <w:szCs w:val="22"/>
          <w:lang w:val="es-ES"/>
        </w:rPr>
        <w:t>Obligatoria</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Código Procesal Civil actualizado</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Ley Orgánica del Poder Judicial</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Ley de Notificaciones</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Cualquier otra que el profesor recomiende</w:t>
      </w:r>
    </w:p>
    <w:p>
      <w:pPr>
        <w:pStyle w:val="Normal"/>
        <w:rPr>
          <w:rFonts w:ascii="Times New Roman" w:hAnsi="Times New Roman"/>
          <w:sz w:val="22"/>
          <w:szCs w:val="22"/>
          <w:lang w:val="es-MX"/>
        </w:rPr>
      </w:pPr>
      <w:r>
        <w:rPr>
          <w:rFonts w:ascii="Times New Roman" w:hAnsi="Times New Roman"/>
          <w:sz w:val="22"/>
          <w:szCs w:val="22"/>
          <w:lang w:val="es-MX"/>
        </w:rPr>
      </w:r>
    </w:p>
    <w:p>
      <w:pPr>
        <w:pStyle w:val="Encabezado3"/>
        <w:rPr>
          <w:sz w:val="22"/>
          <w:szCs w:val="22"/>
        </w:rPr>
      </w:pPr>
      <w:bookmarkStart w:id="10" w:name="_Toc504642940_Copia_1"/>
      <w:r>
        <w:rPr>
          <w:rFonts w:cs="Times New Roman"/>
          <w:sz w:val="22"/>
          <w:szCs w:val="22"/>
          <w:shd w:fill="FFFF00" w:val="clear"/>
          <w:lang w:val="es-ES"/>
        </w:rPr>
        <w:t>Bibliografía en idioma extranjero</w:t>
      </w:r>
      <w:r>
        <w:rPr>
          <w:rFonts w:cs="Times New Roman"/>
          <w:sz w:val="22"/>
          <w:szCs w:val="22"/>
          <w:lang w:val="es-ES"/>
        </w:rPr>
        <w:t xml:space="preserve">: </w:t>
      </w:r>
      <w:bookmarkEnd w:id="10"/>
    </w:p>
    <w:p>
      <w:pPr>
        <w:pStyle w:val="Normal"/>
        <w:widowControl w:val="false"/>
        <w:jc w:val="center"/>
        <w:rPr>
          <w:rFonts w:ascii="Times New Roman" w:hAnsi="Times New Roman"/>
          <w:sz w:val="22"/>
          <w:szCs w:val="22"/>
        </w:rPr>
      </w:pPr>
      <w:r>
        <w:rPr>
          <w:rFonts w:ascii="Times New Roman" w:hAnsi="Times New Roman"/>
          <w:sz w:val="22"/>
          <w:szCs w:val="22"/>
          <w:lang w:val="es-CR"/>
        </w:rPr>
        <w:t xml:space="preserve">Aspetti Fondamentali del Processo Civile di Civil Law e di Common Law. </w:t>
      </w:r>
    </w:p>
    <w:p>
      <w:pPr>
        <w:pStyle w:val="Normal"/>
        <w:widowControl w:val="false"/>
        <w:jc w:val="center"/>
        <w:rPr>
          <w:rFonts w:ascii="Times New Roman" w:hAnsi="Times New Roman"/>
          <w:sz w:val="22"/>
          <w:szCs w:val="22"/>
        </w:rPr>
      </w:pPr>
      <w:r>
        <w:rPr>
          <w:rFonts w:ascii="Times New Roman" w:hAnsi="Times New Roman"/>
          <w:sz w:val="22"/>
          <w:szCs w:val="22"/>
          <w:lang w:val="es-CR"/>
        </w:rPr>
        <w:t xml:space="preserve">Michele Taruffo. 2001. </w:t>
      </w:r>
    </w:p>
    <w:p>
      <w:pPr>
        <w:pStyle w:val="Normal"/>
        <w:widowControl w:val="false"/>
        <w:jc w:val="center"/>
        <w:rPr>
          <w:rFonts w:ascii="Times New Roman" w:hAnsi="Times New Roman"/>
          <w:sz w:val="22"/>
          <w:szCs w:val="22"/>
        </w:rPr>
      </w:pPr>
      <w:r>
        <w:rPr>
          <w:rFonts w:ascii="Times New Roman" w:hAnsi="Times New Roman"/>
          <w:sz w:val="22"/>
          <w:szCs w:val="22"/>
          <w:lang w:val="es-CR"/>
        </w:rPr>
        <w:t>En: https://revistas.ufpr.br/direito/article/download/1780/1477</w:t>
      </w:r>
      <w:bookmarkStart w:id="11" w:name="_Toc504642941"/>
    </w:p>
    <w:p>
      <w:pPr>
        <w:pStyle w:val="Encabezado3"/>
        <w:rPr>
          <w:rFonts w:ascii="Times New Roman" w:hAnsi="Times New Roman"/>
          <w:sz w:val="22"/>
          <w:szCs w:val="22"/>
        </w:rPr>
      </w:pPr>
      <w:r>
        <w:rPr>
          <w:rFonts w:cs="Times New Roman"/>
          <w:sz w:val="22"/>
          <w:szCs w:val="22"/>
        </w:rPr>
        <w:t>Bibliografía Complementaria</w:t>
      </w:r>
      <w:bookmarkEnd w:id="11"/>
    </w:p>
    <w:p>
      <w:pPr>
        <w:pStyle w:val="Normal"/>
        <w:rPr>
          <w:rFonts w:ascii="Times New Roman" w:hAnsi="Times New Roman"/>
          <w:sz w:val="22"/>
          <w:szCs w:val="22"/>
          <w:lang w:val="es-MX" w:eastAsia="zh-CN"/>
        </w:rPr>
      </w:pPr>
      <w:r>
        <w:rPr>
          <w:rFonts w:ascii="Times New Roman" w:hAnsi="Times New Roman"/>
          <w:sz w:val="22"/>
          <w:szCs w:val="22"/>
          <w:lang w:val="es-MX" w:eastAsia="zh-CN"/>
        </w:rPr>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 xml:space="preserve">Armenta Deu, Teresa, Lecciones de Derecho Procesal Civil, décimosegunda edición, Marcial Pons, Madrid, 2019. </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 xml:space="preserve">Berrocal Azofeifa, Ian. </w:t>
      </w:r>
      <w:r>
        <w:rPr>
          <w:rFonts w:eastAsia="Calibri" w:ascii="Times New Roman" w:hAnsi="Times New Roman"/>
          <w:sz w:val="22"/>
          <w:szCs w:val="22"/>
          <w:lang w:val="es-ES_tradnl"/>
        </w:rPr>
        <w:t>Manual de t</w:t>
      </w:r>
      <w:r>
        <w:rPr>
          <w:rFonts w:eastAsia="Calibri" w:ascii="Times New Roman" w:hAnsi="Times New Roman"/>
          <w:lang w:val="es-ES_tradnl"/>
        </w:rPr>
        <w:t xml:space="preserve">ramitación de los procesos judiciales. Código Procesal Civil 2016. Escuela Judicial. </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 xml:space="preserve">De Stefano, Franco, L’ istruzione </w:t>
      </w:r>
      <w:r>
        <w:rPr>
          <w:rFonts w:eastAsia="Times New Roman" w:ascii="Times New Roman" w:hAnsi="Times New Roman"/>
          <w:sz w:val="22"/>
          <w:szCs w:val="22"/>
          <w:lang w:val="es-CR"/>
        </w:rPr>
        <w:t>d</w:t>
      </w:r>
      <w:r>
        <w:rPr>
          <w:rFonts w:ascii="Times New Roman" w:hAnsi="Times New Roman"/>
          <w:sz w:val="22"/>
          <w:szCs w:val="22"/>
          <w:lang w:val="es-CR"/>
        </w:rPr>
        <w:t>ella causa nel nu</w:t>
      </w:r>
      <w:r>
        <w:rPr>
          <w:rFonts w:eastAsia="Times New Roman" w:ascii="Times New Roman" w:hAnsi="Times New Roman"/>
          <w:sz w:val="22"/>
          <w:szCs w:val="22"/>
          <w:lang w:val="es-CR"/>
        </w:rPr>
        <w:t>o</w:t>
      </w:r>
      <w:r>
        <w:rPr>
          <w:rFonts w:ascii="Times New Roman" w:hAnsi="Times New Roman"/>
          <w:sz w:val="22"/>
          <w:szCs w:val="22"/>
          <w:lang w:val="es-CR"/>
        </w:rPr>
        <w:t>vo proceso civile, Casa Editrice Dott.Antonio Milani, Padova, Italia, 1999.</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Fundamentos de Derecho Procesal Civil de Eduardo Couture.</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López González, Jorge Alberto, Curso de Derecho Procesal Civil Costarricense, Volumen I, 2017.</w:t>
      </w:r>
    </w:p>
    <w:p>
      <w:pPr>
        <w:pStyle w:val="Normal"/>
        <w:widowControl w:val="false"/>
        <w:numPr>
          <w:ilvl w:val="0"/>
          <w:numId w:val="5"/>
        </w:numPr>
        <w:rPr>
          <w:rFonts w:ascii="Times New Roman" w:hAnsi="Times New Roman"/>
          <w:sz w:val="22"/>
          <w:szCs w:val="22"/>
        </w:rPr>
      </w:pPr>
      <w:r>
        <w:rPr>
          <w:rFonts w:ascii="Times New Roman" w:hAnsi="Times New Roman"/>
          <w:sz w:val="22"/>
          <w:szCs w:val="22"/>
          <w:lang w:val="es-CR"/>
        </w:rPr>
        <w:t>López González, Jorge Alberto, Curso de Derecho Procesal Civil Costarricense, Volumen II, 2021.</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Artavia Sergio-Picado Carlos. Manual del Proceso Civil, tomo II, 2a edición, Editorial Faro, 2018</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Artavia Sergio-Picado Carlos. Comentarios al nuevo Código Procesal Civil, tomos III y tomo IV, 2a edición, San José, 2017.</w:t>
      </w:r>
    </w:p>
    <w:p>
      <w:pPr>
        <w:pStyle w:val="ListParagraph"/>
        <w:widowControl w:val="false"/>
        <w:numPr>
          <w:ilvl w:val="0"/>
          <w:numId w:val="5"/>
        </w:numPr>
        <w:jc w:val="both"/>
        <w:rPr>
          <w:rFonts w:ascii="Times New Roman" w:hAnsi="Times New Roman"/>
        </w:rPr>
      </w:pPr>
      <w:r>
        <w:rPr>
          <w:rFonts w:eastAsia="Calibri" w:ascii="Times New Roman" w:hAnsi="Times New Roman"/>
          <w:lang w:val="es-ES_tradnl"/>
        </w:rPr>
        <w:t xml:space="preserve">León Díaz José Rodolfo, Ley Concursal de Costa Rica comentada, Editorial Jurídica Continental, San José, 2021. </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widowControl w:val="false"/>
        <w:jc w:val="left"/>
        <w:rPr>
          <w:rFonts w:ascii="Times New Roman" w:hAnsi="Times New Roman"/>
        </w:rPr>
      </w:pPr>
      <w:r>
        <w:rPr>
          <w:rFonts w:ascii="Times New Roman" w:hAnsi="Times New Roman"/>
          <w:sz w:val="22"/>
          <w:szCs w:val="22"/>
        </w:rPr>
        <w:t xml:space="preserve"> </w:t>
      </w:r>
    </w:p>
    <w:p>
      <w:pPr>
        <w:pStyle w:val="Standard"/>
        <w:ind w:right="1187" w:hanging="0"/>
        <w:jc w:val="both"/>
        <w:rPr>
          <w:rFonts w:ascii="Times New Roman" w:hAnsi="Times New Roman" w:cs="Times New Roman"/>
          <w:sz w:val="22"/>
          <w:szCs w:val="22"/>
        </w:rPr>
      </w:pPr>
      <w:r>
        <w:rPr>
          <w:rFonts w:eastAsia="Times New Roman" w:cs="Times New Roman" w:ascii="Times New Roman" w:hAnsi="Times New Roman"/>
          <w:kern w:val="0"/>
          <w:sz w:val="22"/>
          <w:szCs w:val="22"/>
          <w:lang w:val="es-ES" w:eastAsia="es-ES" w:bidi="ar-SA"/>
        </w:rPr>
        <w:t xml:space="preserve"> </w:t>
      </w:r>
    </w:p>
    <w:p>
      <w:pPr>
        <w:pStyle w:val="Normal"/>
        <w:rPr/>
      </w:pPr>
      <w:r>
        <w:rPr/>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5400040" cy="382524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3"/>
                    <a:stretch>
                      <a:fillRect/>
                    </a:stretch>
                  </pic:blipFill>
                  <pic:spPr bwMode="auto">
                    <a:xfrm>
                      <a:off x="0" y="0"/>
                      <a:ext cx="5400040" cy="3825240"/>
                    </a:xfrm>
                    <a:prstGeom prst="rect">
                      <a:avLst/>
                    </a:prstGeom>
                  </pic:spPr>
                </pic:pic>
              </a:graphicData>
            </a:graphic>
          </wp:anchor>
        </w:drawing>
      </w:r>
    </w:p>
    <w:sectPr>
      <w:headerReference w:type="default" r:id="rId4"/>
      <w:footerReference w:type="default" r:id="rId5"/>
      <w:footnotePr>
        <w:numFmt w:val="decimal"/>
      </w:footnotePr>
      <w:type w:val="nextPage"/>
      <w:pgSz w:w="11906" w:h="16838"/>
      <w:pgMar w:left="1701" w:right="1701" w:gutter="0" w:header="709" w:top="1985" w:footer="709" w:bottom="1531"/>
      <w:pgNumType w:fmt="decimal"/>
      <w:formProt w:val="false"/>
      <w:textDirection w:val="lrTb"/>
      <w:docGrid w:type="default" w:linePitch="360" w:charSpace="3440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Times">
    <w:altName w:val="Times New Roman"/>
    <w:charset w:val="00"/>
    <w:family w:val="roman"/>
    <w:pitch w:val="variable"/>
  </w:font>
  <w:font w:name="Courier New">
    <w:charset w:val="00"/>
    <w:family w:val="roman"/>
    <w:pitch w:val="variable"/>
  </w:font>
  <w:font w:name="Lucida Grande">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drawing>
        <wp:anchor behindDoc="1" distT="0" distB="0" distL="0" distR="0" simplePos="0" locked="0" layoutInCell="1" allowOverlap="1" relativeHeight="10">
          <wp:simplePos x="0" y="0"/>
          <wp:positionH relativeFrom="column">
            <wp:posOffset>5373370</wp:posOffset>
          </wp:positionH>
          <wp:positionV relativeFrom="paragraph">
            <wp:posOffset>146050</wp:posOffset>
          </wp:positionV>
          <wp:extent cx="1143000" cy="546100"/>
          <wp:effectExtent l="0" t="0" r="0" b="0"/>
          <wp:wrapNone/>
          <wp:docPr id="3"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Logo, company name&#10;&#10;Description automatically generated"/>
                  <pic:cNvPicPr>
                    <a:picLocks noChangeAspect="1" noChangeArrowheads="1"/>
                  </pic:cNvPicPr>
                </pic:nvPicPr>
                <pic:blipFill>
                  <a:blip r:embed="rId1"/>
                  <a:stretch>
                    <a:fillRect/>
                  </a:stretch>
                </pic:blipFill>
                <pic:spPr bwMode="auto">
                  <a:xfrm>
                    <a:off x="0" y="0"/>
                    <a:ext cx="1143000" cy="546100"/>
                  </a:xfrm>
                  <a:prstGeom prst="rect">
                    <a:avLst/>
                  </a:prstGeom>
                </pic:spPr>
              </pic:pic>
            </a:graphicData>
          </a:graphic>
        </wp:anchor>
      </w:drawing>
    </w:r>
    <w:r>
      <w:rPr/>
      <w:t xml:space="preserve">Teléfono: 2511-7033 / Correo electrónico: </w:t>
    </w:r>
    <w:hyperlink r:id="rId2">
      <w:r>
        <w:rPr>
          <w:rStyle w:val="EnlacedeInternet"/>
        </w:rPr>
        <w:t>cienciasociales.so@ucr.ac.cr</w:t>
      </w:r>
    </w:hyperlink>
    <w:r>
      <w:rPr/>
      <w:t xml:space="preserve"> / </w:t>
    </w:r>
  </w:p>
  <w:p>
    <w:pPr>
      <w:pStyle w:val="Normal"/>
      <w:jc w:val="center"/>
      <w:rPr>
        <w:lang w:val="en-US"/>
      </w:rPr>
    </w:pPr>
    <w:r>
      <w:rPr>
        <w:lang w:val="en-US"/>
      </w:rPr>
      <w:t xml:space="preserve">Sitio web: www.so.ucr.ac.cr/ms/derecho/es </w:t>
    </w:r>
  </w:p>
  <w:p>
    <w:pPr>
      <w:pStyle w:val="Piedepgina"/>
      <w:rPr>
        <w:lang w:val="en-US"/>
      </w:rPr>
    </w:pPr>
    <w:r>
      <w:rPr>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pPr>
      <w:r>
        <w:rPr>
          <w:rStyle w:val="Caracteresdenotaalpie"/>
        </w:rPr>
        <w:footnoteRef/>
      </w:r>
      <w:r>
        <w:rPr/>
        <w:t xml:space="preserve"> </w:t>
      </w:r>
      <w:r>
        <w:rPr>
          <w:sz w:val="17"/>
          <w:szCs w:val="17"/>
        </w:rPr>
        <w:t>Misión y visión tomadas del Plan de Desarrollo Estratégico, sede Occidente, Carrera de Derecho 2022-2026.</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5400040" cy="788670"/>
          <wp:effectExtent l="0" t="0" r="0" b="0"/>
          <wp:docPr id="2" name="image6.png"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DCS-CarreraDerecho-02"/>
                  <pic:cNvPicPr>
                    <a:picLocks noChangeAspect="1" noChangeArrowheads="1"/>
                  </pic:cNvPicPr>
                </pic:nvPicPr>
                <pic:blipFill>
                  <a:blip r:embed="rId1"/>
                  <a:stretch>
                    <a:fillRect/>
                  </a:stretch>
                </pic:blipFill>
                <pic:spPr bwMode="auto">
                  <a:xfrm>
                    <a:off x="0" y="0"/>
                    <a:ext cx="5400040" cy="7886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93"/>
  <w:defaultTabStop w:val="708"/>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es-CR"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93e54"/>
    <w:pPr>
      <w:widowControl/>
      <w:suppressAutoHyphens w:val="true"/>
      <w:bidi w:val="0"/>
      <w:spacing w:before="0" w:after="0"/>
      <w:jc w:val="both"/>
    </w:pPr>
    <w:rPr>
      <w:rFonts w:ascii="Arial" w:hAnsi="Arial" w:eastAsia="Times New Roman" w:cs="Times New Roman"/>
      <w:color w:val="auto"/>
      <w:kern w:val="0"/>
      <w:sz w:val="20"/>
      <w:szCs w:val="24"/>
      <w:lang w:val="es-ES" w:eastAsia="es-ES" w:bidi="ar-SA"/>
    </w:rPr>
  </w:style>
  <w:style w:type="paragraph" w:styleId="Ttulo1">
    <w:name w:val="Heading 1"/>
    <w:basedOn w:val="Normal"/>
    <w:next w:val="Normal"/>
    <w:link w:val="Ttulo1Car"/>
    <w:uiPriority w:val="9"/>
    <w:qFormat/>
    <w:rsid w:val="00891bdc"/>
    <w:pPr>
      <w:keepNext w:val="true"/>
      <w:spacing w:before="240" w:after="60"/>
      <w:jc w:val="left"/>
      <w:outlineLvl w:val="0"/>
    </w:pPr>
    <w:rPr>
      <w:rFonts w:ascii="Cambria" w:hAnsi="Cambria"/>
      <w:b/>
      <w:bCs/>
      <w:kern w:val="2"/>
      <w:sz w:val="32"/>
      <w:szCs w:val="32"/>
    </w:rPr>
  </w:style>
  <w:style w:type="paragraph" w:styleId="Ttulo3">
    <w:name w:val="Heading 3"/>
    <w:basedOn w:val="Normal"/>
    <w:next w:val="Normal"/>
    <w:qFormat/>
    <w:rsid w:val="00891bdc"/>
    <w:pPr>
      <w:keepNext w:val="true"/>
      <w:numPr>
        <w:ilvl w:val="2"/>
        <w:numId w:val="1"/>
      </w:numPr>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right"/>
      <w:outlineLvl w:val="2"/>
    </w:pPr>
    <w:rPr>
      <w:spacing w:val="-3"/>
      <w:sz w:val="24"/>
      <w:lang w:val="x-none" w:eastAsia="zh-CN"/>
    </w:rPr>
  </w:style>
  <w:style w:type="paragraph" w:styleId="Ttulo4">
    <w:name w:val="Heading 4"/>
    <w:basedOn w:val="Normal"/>
    <w:next w:val="Normal"/>
    <w:link w:val="Ttulo4Car"/>
    <w:uiPriority w:val="9"/>
    <w:qFormat/>
    <w:rsid w:val="00891bdc"/>
    <w:pPr>
      <w:keepNext w:val="true"/>
      <w:spacing w:before="240" w:after="60"/>
      <w:jc w:val="left"/>
      <w:outlineLvl w:val="3"/>
    </w:pPr>
    <w:rPr>
      <w:rFonts w:ascii="Calibri" w:hAnsi="Calibri"/>
      <w:b/>
      <w:bCs/>
      <w:sz w:val="28"/>
      <w:szCs w:val="28"/>
    </w:rPr>
  </w:style>
  <w:style w:type="paragraph" w:styleId="Ttulo6">
    <w:name w:val="Heading 6"/>
    <w:basedOn w:val="Normal"/>
    <w:next w:val="Normal"/>
    <w:qFormat/>
    <w:rsid w:val="00891bdc"/>
    <w:pPr>
      <w:keepNext w:val="true"/>
      <w:numPr>
        <w:ilvl w:val="5"/>
        <w:numId w:val="1"/>
      </w:numPr>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center"/>
      <w:outlineLvl w:val="5"/>
    </w:pPr>
    <w:rPr>
      <w:b/>
      <w:bCs/>
      <w:spacing w:val="-3"/>
      <w:sz w:val="28"/>
      <w:szCs w:val="32"/>
      <w:lang w:eastAsia="zh-CN"/>
    </w:rPr>
  </w:style>
  <w:style w:type="character" w:styleId="DefaultParagraphFont" w:default="1">
    <w:name w:val="Default Paragraph Font"/>
    <w:uiPriority w:val="1"/>
    <w:semiHidden/>
    <w:unhideWhenUsed/>
    <w:qFormat/>
    <w:rPr/>
  </w:style>
  <w:style w:type="character" w:styleId="EncabezadoCar" w:customStyle="1">
    <w:name w:val="Encabezado Car"/>
    <w:link w:val="Encabezado1"/>
    <w:uiPriority w:val="99"/>
    <w:qFormat/>
    <w:rsid w:val="00a41923"/>
    <w:rPr>
      <w:rFonts w:eastAsia="Times New Roman"/>
      <w:sz w:val="24"/>
      <w:szCs w:val="24"/>
      <w:lang w:val="es-ES" w:eastAsia="es-ES"/>
    </w:rPr>
  </w:style>
  <w:style w:type="character" w:styleId="PiedepginaCar" w:customStyle="1">
    <w:name w:val="Pie de página Car"/>
    <w:link w:val="Piedepgina1"/>
    <w:uiPriority w:val="99"/>
    <w:qFormat/>
    <w:rsid w:val="00a41923"/>
    <w:rPr>
      <w:rFonts w:eastAsia="Times New Roman"/>
      <w:sz w:val="24"/>
      <w:szCs w:val="24"/>
      <w:lang w:val="es-ES" w:eastAsia="es-ES"/>
    </w:rPr>
  </w:style>
  <w:style w:type="character" w:styleId="TextodegloboCar" w:customStyle="1">
    <w:name w:val="Texto de globo Car"/>
    <w:uiPriority w:val="99"/>
    <w:semiHidden/>
    <w:qFormat/>
    <w:rsid w:val="00a41923"/>
    <w:rPr>
      <w:rFonts w:ascii="Tahoma" w:hAnsi="Tahoma" w:eastAsia="Times New Roman" w:cs="Tahoma"/>
      <w:sz w:val="16"/>
      <w:szCs w:val="16"/>
      <w:lang w:val="es-ES" w:eastAsia="es-ES"/>
    </w:rPr>
  </w:style>
  <w:style w:type="character" w:styleId="Ttulo3Car" w:customStyle="1">
    <w:name w:val="Título 3 Car"/>
    <w:link w:val="Encabezado3"/>
    <w:qFormat/>
    <w:rsid w:val="00e81c9a"/>
    <w:rPr>
      <w:rFonts w:ascii="Times" w:hAnsi="Times" w:eastAsia="Times New Roman" w:cs="Arial"/>
      <w:b/>
      <w:bCs/>
      <w:smallCaps/>
      <w:spacing w:val="-3"/>
      <w:sz w:val="24"/>
      <w:szCs w:val="24"/>
      <w:lang w:val="es-MX" w:eastAsia="zh-CN"/>
    </w:rPr>
  </w:style>
  <w:style w:type="character" w:styleId="Ttulo6Car" w:customStyle="1">
    <w:name w:val="Título 6 Car"/>
    <w:link w:val="Encabezado6"/>
    <w:qFormat/>
    <w:rsid w:val="004b4684"/>
    <w:rPr>
      <w:rFonts w:ascii="Arial" w:hAnsi="Arial" w:eastAsia="Times New Roman" w:cs="Arial"/>
      <w:b/>
      <w:bCs/>
      <w:spacing w:val="-3"/>
      <w:sz w:val="28"/>
      <w:szCs w:val="32"/>
      <w:lang w:val="es-ES" w:eastAsia="zh-CN"/>
    </w:rPr>
  </w:style>
  <w:style w:type="character" w:styleId="EnlacedeInternet">
    <w:name w:val="Hyperlink"/>
    <w:rsid w:val="00c7070a"/>
    <w:rPr>
      <w:color w:val="0000FF"/>
      <w:u w:val="single"/>
    </w:rPr>
  </w:style>
  <w:style w:type="character" w:styleId="SangradetextonormalCar" w:customStyle="1">
    <w:name w:val="Sangría de texto normal Car"/>
    <w:qFormat/>
    <w:rsid w:val="004b4684"/>
    <w:rPr>
      <w:rFonts w:ascii="Courier New" w:hAnsi="Courier New" w:eastAsia="Times New Roman" w:cs="Courier New"/>
      <w:b/>
      <w:bCs/>
      <w:sz w:val="32"/>
      <w:szCs w:val="32"/>
      <w:u w:val="single"/>
      <w:lang w:val="es-MX" w:eastAsia="zh-CN"/>
    </w:rPr>
  </w:style>
  <w:style w:type="character" w:styleId="Pagenumber">
    <w:name w:val="page number"/>
    <w:uiPriority w:val="99"/>
    <w:semiHidden/>
    <w:unhideWhenUsed/>
    <w:qFormat/>
    <w:rsid w:val="00d50529"/>
    <w:rPr/>
  </w:style>
  <w:style w:type="character" w:styleId="FootnoteTextChar" w:customStyle="1">
    <w:name w:val="Footnote Text Char"/>
    <w:uiPriority w:val="99"/>
    <w:qFormat/>
    <w:rsid w:val="002b0044"/>
    <w:rPr>
      <w:rFonts w:eastAsia="Times New Roman"/>
      <w:sz w:val="24"/>
      <w:szCs w:val="24"/>
      <w:lang w:val="es-ES"/>
    </w:rPr>
  </w:style>
  <w:style w:type="character" w:styleId="Caracteresdenotaalpie" w:customStyle="1">
    <w:name w:val="Caracteres de nota al pie"/>
    <w:qFormat/>
    <w:rPr>
      <w:vertAlign w:val="superscript"/>
    </w:rPr>
  </w:style>
  <w:style w:type="character" w:styleId="Ancladenotaalpie">
    <w:name w:val="Footnote Reference"/>
    <w:rPr>
      <w:vertAlign w:val="superscript"/>
    </w:rPr>
  </w:style>
  <w:style w:type="character" w:styleId="FootnoteCharacters" w:customStyle="1">
    <w:name w:val="Footnote Characters"/>
    <w:uiPriority w:val="99"/>
    <w:unhideWhenUsed/>
    <w:qFormat/>
    <w:rsid w:val="002b0044"/>
    <w:rPr>
      <w:vertAlign w:val="superscript"/>
    </w:rPr>
  </w:style>
  <w:style w:type="character" w:styleId="TextodecuerpoCar" w:customStyle="1">
    <w:name w:val="Texto de cuerpo Car"/>
    <w:link w:val="Textoindependiente1"/>
    <w:uiPriority w:val="99"/>
    <w:qFormat/>
    <w:rsid w:val="00f35951"/>
    <w:rPr>
      <w:rFonts w:ascii="Arial" w:hAnsi="Arial" w:eastAsia="Times New Roman"/>
      <w:szCs w:val="24"/>
      <w:lang w:val="es-ES"/>
    </w:rPr>
  </w:style>
  <w:style w:type="character" w:styleId="Strong">
    <w:name w:val="Strong"/>
    <w:uiPriority w:val="22"/>
    <w:qFormat/>
    <w:rsid w:val="008245d9"/>
    <w:rPr>
      <w:b/>
      <w:bCs/>
    </w:rPr>
  </w:style>
  <w:style w:type="character" w:styleId="Ttulo2Car" w:customStyle="1">
    <w:name w:val="Título 2 Car"/>
    <w:link w:val="Encabezado2"/>
    <w:uiPriority w:val="9"/>
    <w:qFormat/>
    <w:rsid w:val="008245d9"/>
    <w:rPr>
      <w:rFonts w:ascii="Cambria" w:hAnsi="Cambria" w:eastAsia="Times New Roman" w:cs="Times New Roman"/>
      <w:b/>
      <w:bCs/>
      <w:i/>
      <w:iCs/>
      <w:sz w:val="28"/>
      <w:szCs w:val="28"/>
      <w:lang w:val="es-ES" w:eastAsia="es-ES"/>
    </w:rPr>
  </w:style>
  <w:style w:type="character" w:styleId="Book-header-2-subtitle-publisher" w:customStyle="1">
    <w:name w:val="book-header-2-subtitle-publisher"/>
    <w:qFormat/>
    <w:rsid w:val="008245d9"/>
    <w:rPr/>
  </w:style>
  <w:style w:type="character" w:styleId="MapadeldocumentoCar" w:customStyle="1">
    <w:name w:val="Mapa del documento Car"/>
    <w:basedOn w:val="DefaultParagraphFont"/>
    <w:uiPriority w:val="99"/>
    <w:semiHidden/>
    <w:qFormat/>
    <w:rsid w:val="00017a5e"/>
    <w:rPr>
      <w:rFonts w:ascii="Lucida Grande" w:hAnsi="Lucida Grande" w:eastAsia="Times New Roman" w:cs="Lucida Grande"/>
      <w:sz w:val="24"/>
      <w:szCs w:val="24"/>
      <w:lang w:val="es-ES"/>
    </w:rPr>
  </w:style>
  <w:style w:type="character" w:styleId="Caracteresdenotafinal" w:customStyle="1">
    <w:name w:val="Caracteres de nota final"/>
    <w:qFormat/>
    <w:rPr>
      <w:vertAlign w:val="superscript"/>
    </w:rPr>
  </w:style>
  <w:style w:type="character" w:styleId="Ancladenotafinal">
    <w:name w:val="Endnote Reference"/>
    <w:rPr>
      <w:vertAlign w:val="superscript"/>
    </w:rPr>
  </w:style>
  <w:style w:type="character" w:styleId="EncabezadoCar1" w:customStyle="1">
    <w:name w:val="Encabezado Car1"/>
    <w:basedOn w:val="DefaultParagraphFont"/>
    <w:uiPriority w:val="99"/>
    <w:qFormat/>
    <w:rsid w:val="00270e18"/>
    <w:rPr>
      <w:rFonts w:ascii="Arial" w:hAnsi="Arial" w:eastAsia="Times New Roman"/>
      <w:szCs w:val="24"/>
      <w:lang w:val="es-ES"/>
    </w:rPr>
  </w:style>
  <w:style w:type="character" w:styleId="PiedepginaCar1" w:customStyle="1">
    <w:name w:val="Pie de página Car1"/>
    <w:basedOn w:val="DefaultParagraphFont"/>
    <w:uiPriority w:val="99"/>
    <w:qFormat/>
    <w:rsid w:val="00270e18"/>
    <w:rPr>
      <w:rFonts w:ascii="Arial" w:hAnsi="Arial" w:eastAsia="Times New Roman"/>
      <w:szCs w:val="24"/>
      <w:lang w:val="es-ES"/>
    </w:rPr>
  </w:style>
  <w:style w:type="character" w:styleId="BodyTextIndentChar" w:customStyle="1">
    <w:name w:val="Body Text Indent Char"/>
    <w:basedOn w:val="DefaultParagraphFont"/>
    <w:qFormat/>
    <w:rsid w:val="00270e18"/>
    <w:rPr>
      <w:rFonts w:ascii="Courier New" w:hAnsi="Courier New" w:eastAsia="Times New Roman"/>
      <w:b/>
      <w:bCs/>
      <w:sz w:val="32"/>
      <w:szCs w:val="32"/>
      <w:u w:val="single"/>
      <w:lang w:val="es-MX" w:eastAsia="zh-CN"/>
    </w:rPr>
  </w:style>
  <w:style w:type="character" w:styleId="Ttulo1Car" w:customStyle="1">
    <w:name w:val="Título 1 Car"/>
    <w:basedOn w:val="DefaultParagraphFont"/>
    <w:uiPriority w:val="9"/>
    <w:qFormat/>
    <w:rsid w:val="00891bdc"/>
    <w:rPr>
      <w:rFonts w:ascii="Cambria" w:hAnsi="Cambria" w:eastAsia="Times New Roman"/>
      <w:b/>
      <w:bCs/>
      <w:kern w:val="2"/>
      <w:sz w:val="32"/>
      <w:szCs w:val="32"/>
      <w:lang w:val="es-ES"/>
    </w:rPr>
  </w:style>
  <w:style w:type="character" w:styleId="Ttulo3Car1" w:customStyle="1">
    <w:name w:val="Título 3 Car1"/>
    <w:basedOn w:val="DefaultParagraphFont"/>
    <w:qFormat/>
    <w:rsid w:val="00891bdc"/>
    <w:rPr>
      <w:rFonts w:ascii="Calibri" w:hAnsi="Calibri" w:eastAsia="" w:cs="" w:asciiTheme="majorHAnsi" w:cstheme="majorBidi" w:eastAsiaTheme="majorEastAsia" w:hAnsiTheme="majorHAnsi"/>
      <w:color w:val="243F60" w:themeColor="accent1" w:themeShade="7f"/>
      <w:sz w:val="24"/>
      <w:szCs w:val="24"/>
      <w:lang w:val="es-ES"/>
    </w:rPr>
  </w:style>
  <w:style w:type="character" w:styleId="Ttulo4Car" w:customStyle="1">
    <w:name w:val="Título 4 Car"/>
    <w:basedOn w:val="DefaultParagraphFont"/>
    <w:uiPriority w:val="9"/>
    <w:qFormat/>
    <w:rsid w:val="00891bdc"/>
    <w:rPr>
      <w:rFonts w:ascii="Calibri" w:hAnsi="Calibri" w:eastAsia="Times New Roman"/>
      <w:b/>
      <w:bCs/>
      <w:sz w:val="28"/>
      <w:szCs w:val="28"/>
      <w:lang w:val="es-ES"/>
    </w:rPr>
  </w:style>
  <w:style w:type="character" w:styleId="Ttulo6Car1" w:customStyle="1">
    <w:name w:val="Título 6 Car1"/>
    <w:basedOn w:val="DefaultParagraphFont"/>
    <w:qFormat/>
    <w:rsid w:val="00891bdc"/>
    <w:rPr>
      <w:rFonts w:ascii="Calibri" w:hAnsi="Calibri" w:eastAsia="" w:cs="" w:asciiTheme="majorHAnsi" w:cstheme="majorBidi" w:eastAsiaTheme="majorEastAsia" w:hAnsiTheme="majorHAnsi"/>
      <w:color w:val="243F60" w:themeColor="accent1" w:themeShade="7f"/>
      <w:szCs w:val="24"/>
      <w:lang w:val="es-ES"/>
    </w:rPr>
  </w:style>
  <w:style w:type="character" w:styleId="Textoindependiente2Car" w:customStyle="1">
    <w:name w:val="Texto independiente 2 Car"/>
    <w:basedOn w:val="DefaultParagraphFont"/>
    <w:uiPriority w:val="99"/>
    <w:qFormat/>
    <w:rsid w:val="00891bdc"/>
    <w:rPr>
      <w:rFonts w:eastAsia="Times New Roman"/>
      <w:sz w:val="24"/>
      <w:szCs w:val="24"/>
      <w:lang w:val="es-ES"/>
    </w:rPr>
  </w:style>
  <w:style w:type="character" w:styleId="Enlacedelndice" w:customStyle="1">
    <w:name w:val="Enlace del índice"/>
    <w:qFormat/>
    <w:rPr/>
  </w:style>
  <w:style w:type="character" w:styleId="UnresolvedMention">
    <w:name w:val="Unresolved Mention"/>
    <w:basedOn w:val="DefaultParagraphFont"/>
    <w:uiPriority w:val="99"/>
    <w:qFormat/>
    <w:rsid w:val="00085c0f"/>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Normal"/>
    <w:pPr>
      <w:widowControl w:val="false"/>
      <w:jc w:val="left"/>
    </w:pPr>
    <w:rPr>
      <w:rFonts w:ascii="Times New Roman" w:hAnsi="Times New Roman" w:eastAsia="Calibri" w:cs="Lucida Sans"/>
      <w:szCs w:val="20"/>
      <w:lang w:val="es-C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Textoindependiente1" w:customStyle="1">
    <w:name w:val="Texto independiente1"/>
    <w:basedOn w:val="Normal"/>
    <w:link w:val="TextodecuerpoCar"/>
    <w:uiPriority w:val="99"/>
    <w:unhideWhenUsed/>
    <w:qFormat/>
    <w:rsid w:val="00f35951"/>
    <w:pPr>
      <w:spacing w:before="0" w:after="120"/>
    </w:pPr>
    <w:rPr/>
  </w:style>
  <w:style w:type="paragraph" w:styleId="Descripcin1" w:customStyle="1">
    <w:name w:val="Descripción1"/>
    <w:basedOn w:val="Normal"/>
    <w:qFormat/>
    <w:pPr>
      <w:suppressLineNumbers/>
      <w:spacing w:before="120" w:after="120"/>
    </w:pPr>
    <w:rPr>
      <w:rFonts w:cs="Mangal"/>
      <w:i/>
      <w:iCs/>
      <w:sz w:val="24"/>
    </w:rPr>
  </w:style>
  <w:style w:type="paragraph" w:styleId="Encabezado2" w:customStyle="1">
    <w:name w:val="Encabezado 2"/>
    <w:basedOn w:val="Normal"/>
    <w:next w:val="Normal"/>
    <w:link w:val="Ttulo2Car"/>
    <w:uiPriority w:val="9"/>
    <w:unhideWhenUsed/>
    <w:qFormat/>
    <w:rsid w:val="008245d9"/>
    <w:pPr>
      <w:keepNext w:val="true"/>
      <w:spacing w:before="240" w:after="60"/>
      <w:outlineLvl w:val="1"/>
    </w:pPr>
    <w:rPr>
      <w:rFonts w:ascii="Cambria" w:hAnsi="Cambria"/>
      <w:b/>
      <w:bCs/>
      <w:i/>
      <w:iCs/>
      <w:sz w:val="28"/>
      <w:szCs w:val="28"/>
    </w:rPr>
  </w:style>
  <w:style w:type="paragraph" w:styleId="Encabezado3" w:customStyle="1">
    <w:name w:val="Encabezado 3"/>
    <w:basedOn w:val="Normal"/>
    <w:next w:val="Normal"/>
    <w:link w:val="Ttulo3Car"/>
    <w:autoRedefine/>
    <w:qFormat/>
    <w:rsid w:val="00e81c9a"/>
    <w:pPr>
      <w:keepNext w:val="tru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before="240" w:after="120"/>
      <w:ind w:left="720" w:right="652" w:hanging="720"/>
      <w:jc w:val="center"/>
      <w:outlineLvl w:val="2"/>
    </w:pPr>
    <w:rPr>
      <w:rFonts w:ascii="Times New Roman" w:hAnsi="Times New Roman" w:cs="Arial"/>
      <w:b/>
      <w:bCs/>
      <w:smallCaps/>
      <w:spacing w:val="-3"/>
      <w:sz w:val="24"/>
      <w:lang w:val="es-MX" w:eastAsia="zh-CN"/>
    </w:rPr>
  </w:style>
  <w:style w:type="paragraph" w:styleId="Encabezado6" w:customStyle="1">
    <w:name w:val="Encabezado 6"/>
    <w:basedOn w:val="Normal"/>
    <w:next w:val="Normal"/>
    <w:link w:val="Ttulo6Car"/>
    <w:qFormat/>
    <w:rsid w:val="004b4684"/>
    <w:pPr>
      <w:keepNext w:val="true"/>
      <w:tabs>
        <w:tab w:val="clear" w:pos="708"/>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jc w:val="center"/>
      <w:outlineLvl w:val="5"/>
    </w:pPr>
    <w:rPr>
      <w:rFonts w:cs="Arial"/>
      <w:b/>
      <w:bCs/>
      <w:spacing w:val="-3"/>
      <w:sz w:val="28"/>
      <w:szCs w:val="32"/>
      <w:lang w:eastAsia="zh-CN"/>
    </w:rPr>
  </w:style>
  <w:style w:type="paragraph" w:styleId="Encabezado1" w:customStyle="1">
    <w:name w:val="Encabezado1"/>
    <w:basedOn w:val="Normal"/>
    <w:link w:val="EncabezadoCar"/>
    <w:qFormat/>
    <w:pPr>
      <w:keepNext w:val="true"/>
      <w:spacing w:before="240" w:after="120"/>
    </w:pPr>
    <w:rPr>
      <w:rFonts w:ascii="Liberation Sans" w:hAnsi="Liberation Sans" w:eastAsia="Microsoft YaHei" w:cs="Mangal"/>
      <w:sz w:val="28"/>
      <w:szCs w:val="28"/>
    </w:rPr>
  </w:style>
  <w:style w:type="paragraph" w:styleId="Lista1" w:customStyle="1">
    <w:name w:val="Lista1"/>
    <w:basedOn w:val="Textoindependiente1"/>
    <w:qFormat/>
    <w:pPr/>
    <w:rPr>
      <w:rFonts w:cs="Mangal"/>
    </w:rPr>
  </w:style>
  <w:style w:type="paragraph" w:styleId="Encabezamiento" w:customStyle="1">
    <w:name w:val="Encabezamiento"/>
    <w:basedOn w:val="Normal"/>
    <w:uiPriority w:val="99"/>
    <w:unhideWhenUsed/>
    <w:qFormat/>
    <w:rsid w:val="00a41923"/>
    <w:pPr>
      <w:tabs>
        <w:tab w:val="clear" w:pos="708"/>
        <w:tab w:val="center" w:pos="4419" w:leader="none"/>
        <w:tab w:val="right" w:pos="8838" w:leader="none"/>
      </w:tabs>
    </w:pPr>
    <w:rPr/>
  </w:style>
  <w:style w:type="paragraph" w:styleId="Piedepgina1" w:customStyle="1">
    <w:name w:val="Pie de página1"/>
    <w:basedOn w:val="Normal"/>
    <w:link w:val="PiedepginaCar"/>
    <w:uiPriority w:val="99"/>
    <w:unhideWhenUsed/>
    <w:qFormat/>
    <w:rsid w:val="00a41923"/>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a41923"/>
    <w:pPr/>
    <w:rPr>
      <w:rFonts w:ascii="Tahoma" w:hAnsi="Tahoma" w:cs="Tahoma"/>
      <w:sz w:val="16"/>
      <w:szCs w:val="16"/>
    </w:rPr>
  </w:style>
  <w:style w:type="paragraph" w:styleId="Cuerpodetextoconsangra">
    <w:name w:val="Body Text Indent"/>
    <w:basedOn w:val="Normal"/>
    <w:link w:val="SangradetextonormalCar"/>
    <w:rsid w:val="00270e18"/>
    <w:pPr>
      <w:suppressAutoHyphens w:val="true"/>
      <w:jc w:val="left"/>
    </w:pPr>
    <w:rPr>
      <w:rFonts w:ascii="Courier New" w:hAnsi="Courier New"/>
      <w:b/>
      <w:bCs/>
      <w:sz w:val="32"/>
      <w:szCs w:val="32"/>
      <w:u w:val="single"/>
      <w:lang w:val="es-MX" w:eastAsia="zh-CN"/>
    </w:rPr>
  </w:style>
  <w:style w:type="paragraph" w:styleId="Textonotapie1" w:customStyle="1">
    <w:name w:val="Texto nota pie1"/>
    <w:basedOn w:val="Normal"/>
    <w:qFormat/>
    <w:pPr/>
    <w:rPr/>
  </w:style>
  <w:style w:type="paragraph" w:styleId="Sumario1">
    <w:name w:val="TOC 1"/>
    <w:basedOn w:val="Normal"/>
    <w:next w:val="Normal"/>
    <w:autoRedefine/>
    <w:uiPriority w:val="39"/>
    <w:unhideWhenUsed/>
    <w:rsid w:val="00a50303"/>
    <w:pPr/>
    <w:rPr/>
  </w:style>
  <w:style w:type="paragraph" w:styleId="Sumario2">
    <w:name w:val="TOC 2"/>
    <w:basedOn w:val="Normal"/>
    <w:next w:val="Normal"/>
    <w:autoRedefine/>
    <w:uiPriority w:val="39"/>
    <w:unhideWhenUsed/>
    <w:rsid w:val="00a50303"/>
    <w:pPr>
      <w:ind w:left="200" w:hanging="0"/>
    </w:pPr>
    <w:rPr/>
  </w:style>
  <w:style w:type="paragraph" w:styleId="Sumario3">
    <w:name w:val="TOC 3"/>
    <w:basedOn w:val="Normal"/>
    <w:next w:val="Normal"/>
    <w:autoRedefine/>
    <w:uiPriority w:val="39"/>
    <w:unhideWhenUsed/>
    <w:rsid w:val="00a50303"/>
    <w:pPr>
      <w:ind w:left="400" w:hanging="0"/>
    </w:pPr>
    <w:rPr/>
  </w:style>
  <w:style w:type="paragraph" w:styleId="Sumario4">
    <w:name w:val="TOC 4"/>
    <w:basedOn w:val="Normal"/>
    <w:next w:val="Normal"/>
    <w:autoRedefine/>
    <w:uiPriority w:val="39"/>
    <w:unhideWhenUsed/>
    <w:rsid w:val="00a50303"/>
    <w:pPr>
      <w:ind w:left="600" w:hanging="0"/>
    </w:pPr>
    <w:rPr/>
  </w:style>
  <w:style w:type="paragraph" w:styleId="Sumario5">
    <w:name w:val="TOC 5"/>
    <w:basedOn w:val="Normal"/>
    <w:next w:val="Normal"/>
    <w:autoRedefine/>
    <w:uiPriority w:val="39"/>
    <w:unhideWhenUsed/>
    <w:rsid w:val="00a50303"/>
    <w:pPr>
      <w:ind w:left="800" w:hanging="0"/>
    </w:pPr>
    <w:rPr/>
  </w:style>
  <w:style w:type="paragraph" w:styleId="Sumario6">
    <w:name w:val="TOC 6"/>
    <w:basedOn w:val="Normal"/>
    <w:next w:val="Normal"/>
    <w:autoRedefine/>
    <w:uiPriority w:val="39"/>
    <w:unhideWhenUsed/>
    <w:rsid w:val="00a50303"/>
    <w:pPr>
      <w:ind w:left="1000" w:hanging="0"/>
    </w:pPr>
    <w:rPr/>
  </w:style>
  <w:style w:type="paragraph" w:styleId="Sumario7">
    <w:name w:val="TOC 7"/>
    <w:basedOn w:val="Normal"/>
    <w:next w:val="Normal"/>
    <w:autoRedefine/>
    <w:uiPriority w:val="39"/>
    <w:unhideWhenUsed/>
    <w:rsid w:val="00a50303"/>
    <w:pPr>
      <w:ind w:left="1200" w:hanging="0"/>
    </w:pPr>
    <w:rPr/>
  </w:style>
  <w:style w:type="paragraph" w:styleId="Sumario8">
    <w:name w:val="TOC 8"/>
    <w:basedOn w:val="Normal"/>
    <w:next w:val="Normal"/>
    <w:autoRedefine/>
    <w:uiPriority w:val="39"/>
    <w:unhideWhenUsed/>
    <w:rsid w:val="00a50303"/>
    <w:pPr>
      <w:ind w:left="1400" w:hanging="0"/>
    </w:pPr>
    <w:rPr/>
  </w:style>
  <w:style w:type="paragraph" w:styleId="Sumario9">
    <w:name w:val="TOC 9"/>
    <w:basedOn w:val="Normal"/>
    <w:next w:val="Normal"/>
    <w:autoRedefine/>
    <w:uiPriority w:val="39"/>
    <w:unhideWhenUsed/>
    <w:rsid w:val="00a50303"/>
    <w:pPr>
      <w:ind w:left="1600" w:hanging="0"/>
    </w:pPr>
    <w:rPr/>
  </w:style>
  <w:style w:type="paragraph" w:styleId="ListParagraph">
    <w:name w:val="List Paragraph"/>
    <w:basedOn w:val="Normal"/>
    <w:uiPriority w:val="34"/>
    <w:qFormat/>
    <w:rsid w:val="00c114a5"/>
    <w:pPr>
      <w:spacing w:before="0" w:after="0"/>
      <w:ind w:left="720" w:hanging="0"/>
      <w:contextualSpacing/>
      <w:jc w:val="left"/>
    </w:pPr>
    <w:rPr>
      <w:rFonts w:ascii="Cambria" w:hAnsi="Cambria" w:eastAsia="MS Mincho"/>
      <w:sz w:val="22"/>
      <w:szCs w:val="22"/>
      <w:lang w:val="fr-FR"/>
    </w:rPr>
  </w:style>
  <w:style w:type="paragraph" w:styleId="DocumentMap">
    <w:name w:val="Document Map"/>
    <w:basedOn w:val="Normal"/>
    <w:link w:val="MapadeldocumentoCar"/>
    <w:uiPriority w:val="99"/>
    <w:semiHidden/>
    <w:unhideWhenUsed/>
    <w:qFormat/>
    <w:rsid w:val="00017a5e"/>
    <w:pPr/>
    <w:rPr>
      <w:rFonts w:ascii="Lucida Grande" w:hAnsi="Lucida Grande" w:cs="Lucida Grande"/>
      <w:sz w:val="24"/>
    </w:rPr>
  </w:style>
  <w:style w:type="paragraph" w:styleId="Contenidodelmarco" w:customStyle="1">
    <w:name w:val="Contenido del marco"/>
    <w:basedOn w:val="Normal"/>
    <w:qFormat/>
    <w:pPr/>
    <w:rPr/>
  </w:style>
  <w:style w:type="paragraph" w:styleId="Cabeceraypie" w:customStyle="1">
    <w:name w:val="Cabecera y pie"/>
    <w:basedOn w:val="Normal"/>
    <w:qFormat/>
    <w:pPr/>
    <w:rPr/>
  </w:style>
  <w:style w:type="paragraph" w:styleId="Cabecera">
    <w:name w:val="Header"/>
    <w:basedOn w:val="Normal"/>
    <w:link w:val="EncabezadoCar1"/>
    <w:uiPriority w:val="99"/>
    <w:unhideWhenUsed/>
    <w:rsid w:val="00270e18"/>
    <w:pPr>
      <w:tabs>
        <w:tab w:val="clear" w:pos="708"/>
        <w:tab w:val="center" w:pos="4680" w:leader="none"/>
        <w:tab w:val="right" w:pos="9360" w:leader="none"/>
      </w:tabs>
    </w:pPr>
    <w:rPr/>
  </w:style>
  <w:style w:type="paragraph" w:styleId="Piedepgina">
    <w:name w:val="Footer"/>
    <w:basedOn w:val="Normal"/>
    <w:link w:val="PiedepginaCar1"/>
    <w:uiPriority w:val="99"/>
    <w:unhideWhenUsed/>
    <w:rsid w:val="00270e18"/>
    <w:pPr>
      <w:tabs>
        <w:tab w:val="clear" w:pos="708"/>
        <w:tab w:val="center" w:pos="4680" w:leader="none"/>
        <w:tab w:val="right" w:pos="9360" w:leader="none"/>
      </w:tabs>
    </w:pPr>
    <w:rPr/>
  </w:style>
  <w:style w:type="paragraph" w:styleId="BodyText2">
    <w:name w:val="Body Text 2"/>
    <w:basedOn w:val="Normal"/>
    <w:link w:val="Textoindependiente2Car"/>
    <w:uiPriority w:val="99"/>
    <w:unhideWhenUsed/>
    <w:qFormat/>
    <w:rsid w:val="00891bdc"/>
    <w:pPr>
      <w:spacing w:lineRule="auto" w:line="480" w:before="0" w:after="120"/>
      <w:jc w:val="left"/>
    </w:pPr>
    <w:rPr>
      <w:rFonts w:ascii="Times New Roman" w:hAnsi="Times New Roman"/>
      <w:sz w:val="24"/>
    </w:rPr>
  </w:style>
  <w:style w:type="paragraph" w:styleId="Standard" w:customStyle="1">
    <w:name w:val="Standard"/>
    <w:qFormat/>
    <w:rsid w:val="003629d2"/>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s-CR" w:eastAsia="zh-CN" w:bidi="hi-IN"/>
    </w:rPr>
  </w:style>
  <w:style w:type="paragraph" w:styleId="Notaalpie">
    <w:name w:val="Footnote Text"/>
    <w:basedOn w:val="Normal"/>
    <w:pPr/>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Listaoscura-nfasis2">
    <w:name w:val="Dark List Accent 2"/>
    <w:basedOn w:val="Tablanormal"/>
    <w:uiPriority w:val="61"/>
    <w:rsid w:val="00d3743a"/>
    <w:rPr>
      <w:sz w:val="22"/>
      <w:szCs w:val="22"/>
    </w:rPr>
    <w:tblPr>
      <w:tblStyleRowBandSize w:val="1"/>
      <w:tblStyleColBandSize w:val="1"/>
      <w:tblBorders>
        <w:top w:val="single" w:color="9CBEBD" w:sz="8" w:space="0"/>
        <w:left w:val="single" w:color="9CBEBD" w:sz="8" w:space="0"/>
        <w:bottom w:val="single" w:color="9CBEBD" w:sz="8" w:space="0"/>
        <w:right w:val="single" w:color="9CBEBD" w:sz="8" w:space="0"/>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color="9CBEBD" w:sz="6" w:space="0"/>
          <w:left w:val="single" w:color="9CBEBD" w:sz="8" w:space="0"/>
          <w:bottom w:val="single" w:color="9CBEBD" w:sz="8" w:space="0"/>
          <w:right w:val="single" w:color="9CBEBD" w:sz="8" w:space="0"/>
        </w:tcBorders>
      </w:tcPr>
    </w:tblStylePr>
    <w:tblStylePr w:type="firstCol">
      <w:rPr>
        <w:b/>
        <w:bCs/>
      </w:rPr>
      <w:tblPr/>
    </w:tblStylePr>
    <w:tblStylePr w:type="lastCol">
      <w:rPr>
        <w:b/>
        <w:bCs/>
      </w:rPr>
      <w:tblPr/>
    </w:tblStylePr>
    <w:tblStylePr w:type="band1Vert">
      <w:tblPr/>
      <w:tcPr>
        <w:tcBorders>
          <w:top w:val="single" w:color="9CBEBD" w:sz="8" w:space="0"/>
          <w:left w:val="single" w:color="9CBEBD" w:sz="8" w:space="0"/>
          <w:bottom w:val="single" w:color="9CBEBD" w:sz="8" w:space="0"/>
          <w:right w:val="single" w:color="9CBEBD" w:sz="8" w:space="0"/>
        </w:tcBorders>
      </w:tcPr>
    </w:tblStylePr>
    <w:tblStylePr w:type="band1Horz">
      <w:tblPr/>
      <w:tcPr>
        <w:tcBorders>
          <w:top w:val="single" w:color="9CBEBD" w:sz="8" w:space="0"/>
          <w:left w:val="single" w:color="9CBEBD" w:sz="8" w:space="0"/>
          <w:bottom w:val="single" w:color="9CBEBD" w:sz="8" w:space="0"/>
          <w:right w:val="single" w:color="9CBEBD" w:sz="8" w:space="0"/>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color="95A39D" w:sz="8" w:space="0"/>
        <w:left w:val="single" w:color="95A39D" w:sz="8" w:space="0"/>
        <w:bottom w:val="single" w:color="95A39D" w:sz="8" w:space="0"/>
        <w:right w:val="single" w:color="95A39D" w:sz="8" w:space="0"/>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color="95A39D" w:sz="6" w:space="0"/>
          <w:left w:val="single" w:color="95A39D" w:sz="8" w:space="0"/>
          <w:bottom w:val="single" w:color="95A39D" w:sz="8" w:space="0"/>
          <w:right w:val="single" w:color="95A39D" w:sz="8" w:space="0"/>
        </w:tcBorders>
      </w:tcPr>
    </w:tblStylePr>
    <w:tblStylePr w:type="firstCol">
      <w:rPr>
        <w:b/>
        <w:bCs/>
      </w:rPr>
      <w:tblPr/>
    </w:tblStylePr>
    <w:tblStylePr w:type="lastCol">
      <w:rPr>
        <w:b/>
        <w:bCs/>
      </w:rPr>
      <w:tblPr/>
    </w:tblStylePr>
    <w:tblStylePr w:type="band1Vert">
      <w:tblPr/>
      <w:tcPr>
        <w:tcBorders>
          <w:top w:val="single" w:color="95A39D" w:sz="8" w:space="0"/>
          <w:left w:val="single" w:color="95A39D" w:sz="8" w:space="0"/>
          <w:bottom w:val="single" w:color="95A39D" w:sz="8" w:space="0"/>
          <w:right w:val="single" w:color="95A39D" w:sz="8" w:space="0"/>
        </w:tcBorders>
      </w:tcPr>
    </w:tblStylePr>
    <w:tblStylePr w:type="band1Horz">
      <w:tblPr/>
      <w:tcPr>
        <w:tcBorders>
          <w:top w:val="single" w:color="95A39D" w:sz="8" w:space="0"/>
          <w:left w:val="single" w:color="95A39D" w:sz="8" w:space="0"/>
          <w:bottom w:val="single" w:color="95A39D" w:sz="8" w:space="0"/>
          <w:right w:val="single" w:color="95A39D" w:sz="8" w:space="0"/>
        </w:tcBorders>
      </w:tcPr>
    </w:tblStylePr>
  </w:style>
  <w:style w:type="table" w:styleId="Tablaconcuadrcula">
    <w:name w:val="Table Grid"/>
    <w:basedOn w:val="Tablanormal"/>
    <w:uiPriority w:val="39"/>
    <w:rsid w:val="00a41923"/>
    <w:rPr>
      <w:lang w:val="es-ES_tradnl"/>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los.gonzalezmora@ucr.ac.cr"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cienciasociales.so@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Application>LibreOffice/7.5.8.2$Windows_X86_64 LibreOffice_project/f718d63693263970429a68f568db6046aaa9df01</Application>
  <AppVersion>15.0000</AppVersion>
  <Pages>9</Pages>
  <Words>3063</Words>
  <Characters>18393</Characters>
  <CharactersWithSpaces>21348</CharactersWithSpaces>
  <Paragraphs>196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105340079</dc:creator>
  <dc:description/>
  <dc:language>es-CR</dc:language>
  <cp:lastModifiedBy/>
  <dcterms:modified xsi:type="dcterms:W3CDTF">2025-03-06T14:29:41Z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